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5D" w:rsidRPr="00EE01FF" w:rsidRDefault="00850C12" w:rsidP="00EE01FF">
      <w:pPr>
        <w:pStyle w:val="Heading1"/>
        <w:tabs>
          <w:tab w:val="left" w:pos="1440"/>
        </w:tabs>
        <w:jc w:val="center"/>
        <w:rPr>
          <w:rFonts w:eastAsia="Times New Roman"/>
          <w:i/>
          <w:color w:val="C00000"/>
          <w:sz w:val="24"/>
        </w:rPr>
      </w:pPr>
      <w:r w:rsidRPr="003D6D5D">
        <w:rPr>
          <w:rFonts w:ascii="Algerian" w:eastAsia="Times New Roman" w:hAnsi="Algerian"/>
          <w:color w:val="C00000"/>
          <w:sz w:val="32"/>
          <w:szCs w:val="32"/>
        </w:rPr>
        <w:t>Problem s</w:t>
      </w:r>
      <w:r w:rsidR="0033342D" w:rsidRPr="003D6D5D">
        <w:rPr>
          <w:rFonts w:ascii="Algerian" w:eastAsia="Times New Roman" w:hAnsi="Algerian"/>
          <w:color w:val="C00000"/>
          <w:sz w:val="32"/>
          <w:szCs w:val="32"/>
        </w:rPr>
        <w:t>e</w:t>
      </w:r>
      <w:r w:rsidRPr="003D6D5D">
        <w:rPr>
          <w:rFonts w:ascii="Algerian" w:eastAsia="Times New Roman" w:hAnsi="Algerian"/>
          <w:color w:val="C00000"/>
          <w:sz w:val="32"/>
          <w:szCs w:val="32"/>
        </w:rPr>
        <w:t>t 1</w:t>
      </w:r>
      <w:r w:rsidR="00EE01FF">
        <w:rPr>
          <w:rFonts w:ascii="Algerian" w:eastAsia="Times New Roman" w:hAnsi="Algerian"/>
          <w:color w:val="C00000"/>
          <w:sz w:val="32"/>
          <w:szCs w:val="32"/>
        </w:rPr>
        <w:t>6</w:t>
      </w:r>
      <w:r w:rsidRPr="003D6D5D">
        <w:rPr>
          <w:rFonts w:ascii="Algerian" w:eastAsia="Times New Roman" w:hAnsi="Algerian"/>
          <w:color w:val="C00000"/>
          <w:sz w:val="32"/>
          <w:szCs w:val="32"/>
        </w:rPr>
        <w:t xml:space="preserve">:  </w:t>
      </w:r>
      <w:r w:rsidR="003D6D5D" w:rsidRPr="003D6D5D">
        <w:rPr>
          <w:rFonts w:ascii="Algerian" w:hAnsi="Algerian"/>
          <w:color w:val="C00000"/>
          <w:sz w:val="32"/>
          <w:szCs w:val="32"/>
        </w:rPr>
        <w:t>the Cantor-Schroeder-Bernstein Theorem</w:t>
      </w:r>
    </w:p>
    <w:p w:rsidR="0016661C" w:rsidRDefault="0016661C" w:rsidP="0016661C"/>
    <w:p w:rsidR="0016661C" w:rsidRDefault="00EE01FF" w:rsidP="00EE01FF">
      <w:r>
        <w:t xml:space="preserve"> Study the proof below (from:  </w:t>
      </w:r>
      <w:hyperlink r:id="rId5" w:history="1">
        <w:r w:rsidRPr="004121D0">
          <w:rPr>
            <w:rStyle w:val="Hyperlink"/>
          </w:rPr>
          <w:t>Art of problem solving</w:t>
        </w:r>
      </w:hyperlink>
      <w:r>
        <w:t>):</w:t>
      </w:r>
    </w:p>
    <w:p w:rsidR="00EE01FF" w:rsidRDefault="00EE01FF" w:rsidP="00EE01FF">
      <w:pPr>
        <w:pStyle w:val="ListParagraph"/>
      </w:pPr>
    </w:p>
    <w:p w:rsidR="0016661C" w:rsidRDefault="00EE01FF" w:rsidP="00C273FF">
      <w:pPr>
        <w:jc w:val="center"/>
      </w:pPr>
      <w:r>
        <w:rPr>
          <w:noProof/>
        </w:rPr>
        <w:drawing>
          <wp:inline distT="0" distB="0" distL="0" distR="0" wp14:anchorId="0B7A755F" wp14:editId="73F5830B">
            <wp:extent cx="6105299" cy="395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499" cy="39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1FF" w:rsidRDefault="00EE01FF" w:rsidP="00EE01FF"/>
    <w:p w:rsidR="00EE01FF" w:rsidRDefault="00EE01FF" w:rsidP="0046796D">
      <w:pPr>
        <w:spacing w:line="360" w:lineRule="auto"/>
      </w:pPr>
      <w:r>
        <w:t xml:space="preserve">I  </w:t>
      </w:r>
      <w:proofErr w:type="gramStart"/>
      <w:r>
        <w:t>For</w:t>
      </w:r>
      <w:proofErr w:type="gramEnd"/>
      <w:r>
        <w:t xml:space="preserve"> each problem below, </w:t>
      </w:r>
      <w:r w:rsidR="0048524C">
        <w:t xml:space="preserve">first explain why </w:t>
      </w:r>
      <w:r w:rsidR="0048524C" w:rsidRPr="00AE3F3B">
        <w:rPr>
          <w:i/>
        </w:rPr>
        <w:t>f</w:t>
      </w:r>
      <w:r w:rsidR="0048524C">
        <w:t xml:space="preserve"> and </w:t>
      </w:r>
      <w:r w:rsidR="0048524C" w:rsidRPr="00AE3F3B">
        <w:rPr>
          <w:i/>
        </w:rPr>
        <w:t>g</w:t>
      </w:r>
      <w:r w:rsidR="0048524C">
        <w:t xml:space="preserve"> are injections.  Then, </w:t>
      </w:r>
      <w:r>
        <w:t>identify the “lonely” points</w:t>
      </w:r>
      <w:r w:rsidR="0048524C">
        <w:t xml:space="preserve"> and </w:t>
      </w:r>
      <w:r w:rsidR="00AE3F3B">
        <w:t>(</w:t>
      </w:r>
      <w:r w:rsidR="0048524C">
        <w:t>try to</w:t>
      </w:r>
      <w:r w:rsidR="00AE3F3B">
        <w:t>)</w:t>
      </w:r>
      <w:r w:rsidR="0048524C">
        <w:t xml:space="preserve"> </w:t>
      </w:r>
      <w:r>
        <w:t xml:space="preserve">identify the “descendants” of each lonely point.  Finally, show how h: A </w:t>
      </w:r>
      <w:r w:rsidR="006C050B">
        <w:sym w:font="Mathematica1" w:char="F0AE"/>
      </w:r>
      <w:r w:rsidR="006C050B">
        <w:t xml:space="preserve">  B is defined.</w:t>
      </w:r>
    </w:p>
    <w:p w:rsidR="00EE01FF" w:rsidRDefault="00EE01FF" w:rsidP="00EE01FF"/>
    <w:p w:rsidR="0046796D" w:rsidRDefault="006C050B" w:rsidP="0046796D">
      <w:pPr>
        <w:pStyle w:val="ListParagraph"/>
        <w:numPr>
          <w:ilvl w:val="0"/>
          <w:numId w:val="12"/>
        </w:numPr>
      </w:pPr>
      <w:r>
        <w:t xml:space="preserve">  </w:t>
      </w:r>
      <w:r w:rsidR="0046796D">
        <w:t xml:space="preserve">Let   f: N </w:t>
      </w:r>
      <w:r w:rsidR="0046796D">
        <w:sym w:font="Mathematica1" w:char="F0AE"/>
      </w:r>
      <w:r w:rsidR="0046796D">
        <w:t xml:space="preserve"> </w:t>
      </w:r>
      <w:proofErr w:type="spellStart"/>
      <w:r w:rsidR="0046796D">
        <w:t>N</w:t>
      </w:r>
      <w:proofErr w:type="spellEnd"/>
      <w:r w:rsidR="0046796D">
        <w:t xml:space="preserve"> be defined as follows:     </w:t>
      </w:r>
      <w:proofErr w:type="gramStart"/>
      <w:r w:rsidR="0046796D">
        <w:t>f(</w:t>
      </w:r>
      <w:proofErr w:type="gramEnd"/>
      <w:r w:rsidR="0046796D">
        <w:t>a) = a+3.</w:t>
      </w:r>
    </w:p>
    <w:p w:rsidR="0046796D" w:rsidRPr="0016661C" w:rsidRDefault="0046796D" w:rsidP="0046796D">
      <w:pPr>
        <w:pStyle w:val="ListParagraph"/>
      </w:pPr>
    </w:p>
    <w:p w:rsidR="0046796D" w:rsidRDefault="0046796D" w:rsidP="0046796D">
      <w:pPr>
        <w:pStyle w:val="ListParagraph"/>
      </w:pPr>
      <w:r>
        <w:t xml:space="preserve">Let   g: N </w:t>
      </w:r>
      <w:r>
        <w:sym w:font="Mathematica1" w:char="F0AE"/>
      </w:r>
      <w:r>
        <w:t xml:space="preserve"> </w:t>
      </w:r>
      <w:proofErr w:type="spellStart"/>
      <w:r>
        <w:t>N</w:t>
      </w:r>
      <w:proofErr w:type="spellEnd"/>
      <w:r>
        <w:t xml:space="preserve"> be defined as follows:     </w:t>
      </w:r>
      <w:proofErr w:type="gramStart"/>
      <w:r>
        <w:t>g(</w:t>
      </w:r>
      <w:proofErr w:type="gramEnd"/>
      <w:r>
        <w:t>a) = a.</w:t>
      </w:r>
    </w:p>
    <w:p w:rsidR="0046796D" w:rsidRDefault="0046796D" w:rsidP="0046796D">
      <w:pPr>
        <w:pStyle w:val="ListParagraph"/>
      </w:pPr>
    </w:p>
    <w:p w:rsidR="0046796D" w:rsidRDefault="0046796D" w:rsidP="002418AB">
      <w:pPr>
        <w:pStyle w:val="ListParagraph"/>
        <w:spacing w:line="360" w:lineRule="auto"/>
      </w:pPr>
      <w:r>
        <w:t>(Of course, here g is a bijection.   But in this elementary example. we want to illustrate how h:</w:t>
      </w:r>
      <w:r w:rsidRPr="0046796D">
        <w:t xml:space="preserve"> </w:t>
      </w:r>
      <w:r>
        <w:t xml:space="preserve">N </w:t>
      </w:r>
      <w:r>
        <w:sym w:font="Mathematica1" w:char="F0AE"/>
      </w:r>
      <w:r>
        <w:t xml:space="preserve"> </w:t>
      </w:r>
      <w:proofErr w:type="spellStart"/>
      <w:r>
        <w:t>N</w:t>
      </w:r>
      <w:proofErr w:type="spellEnd"/>
      <w:r>
        <w:t xml:space="preserve"> is defined.</w:t>
      </w:r>
      <w:r w:rsidR="003B183E">
        <w:t>)</w:t>
      </w:r>
    </w:p>
    <w:p w:rsidR="0046796D" w:rsidRDefault="0046796D" w:rsidP="0046796D"/>
    <w:p w:rsidR="0046796D" w:rsidRDefault="0046796D" w:rsidP="0046796D">
      <w:pPr>
        <w:pStyle w:val="ListParagraph"/>
      </w:pPr>
    </w:p>
    <w:p w:rsidR="00EE01FF" w:rsidRDefault="0046796D" w:rsidP="0046796D">
      <w:pPr>
        <w:pStyle w:val="ListParagraph"/>
        <w:numPr>
          <w:ilvl w:val="0"/>
          <w:numId w:val="12"/>
        </w:numPr>
      </w:pPr>
      <w:r>
        <w:t xml:space="preserve">  </w:t>
      </w:r>
      <w:r w:rsidR="0048524C">
        <w:t xml:space="preserve">Let </w:t>
      </w:r>
      <w:r w:rsidR="006C050B">
        <w:t xml:space="preserve">  </w:t>
      </w:r>
      <w:r w:rsidR="0048524C">
        <w:t xml:space="preserve">f: N </w:t>
      </w:r>
      <w:r w:rsidR="0048524C">
        <w:sym w:font="Mathematica1" w:char="F0AE"/>
      </w:r>
      <w:r w:rsidR="0048524C">
        <w:t xml:space="preserve"> </w:t>
      </w:r>
      <w:proofErr w:type="spellStart"/>
      <w:r w:rsidR="0048524C">
        <w:t>N</w:t>
      </w:r>
      <w:proofErr w:type="spellEnd"/>
      <w:r w:rsidR="0048524C">
        <w:t xml:space="preserve"> be defined as follows:     </w:t>
      </w:r>
      <w:proofErr w:type="gramStart"/>
      <w:r w:rsidR="0048524C">
        <w:t>f(</w:t>
      </w:r>
      <w:proofErr w:type="gramEnd"/>
      <w:r w:rsidR="0048524C">
        <w:t>a) = a+1.</w:t>
      </w:r>
    </w:p>
    <w:p w:rsidR="0048524C" w:rsidRPr="0016661C" w:rsidRDefault="0048524C" w:rsidP="0048524C">
      <w:pPr>
        <w:pStyle w:val="ListParagraph"/>
      </w:pPr>
    </w:p>
    <w:p w:rsidR="0048524C" w:rsidRDefault="0048524C" w:rsidP="0048524C">
      <w:pPr>
        <w:pStyle w:val="ListParagraph"/>
      </w:pPr>
      <w:r>
        <w:t xml:space="preserve">Let   g: N </w:t>
      </w:r>
      <w:r>
        <w:sym w:font="Mathematica1" w:char="F0AE"/>
      </w:r>
      <w:r>
        <w:t xml:space="preserve"> </w:t>
      </w:r>
      <w:proofErr w:type="spellStart"/>
      <w:r>
        <w:t>N</w:t>
      </w:r>
      <w:proofErr w:type="spellEnd"/>
      <w:r>
        <w:t xml:space="preserve"> be defined as follows:     </w:t>
      </w:r>
      <w:proofErr w:type="gramStart"/>
      <w:r>
        <w:t>g(</w:t>
      </w:r>
      <w:proofErr w:type="gramEnd"/>
      <w:r>
        <w:t>a) = a+1.</w:t>
      </w:r>
    </w:p>
    <w:p w:rsidR="0048524C" w:rsidRDefault="0048524C" w:rsidP="0048524C">
      <w:pPr>
        <w:pStyle w:val="ListParagraph"/>
      </w:pPr>
    </w:p>
    <w:p w:rsidR="00C70474" w:rsidRDefault="00C70474" w:rsidP="00C70474"/>
    <w:p w:rsidR="0048524C" w:rsidRDefault="00C70474" w:rsidP="00C70474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r w:rsidR="0048524C">
        <w:t xml:space="preserve"> Let   f: N </w:t>
      </w:r>
      <w:r w:rsidR="0048524C">
        <w:sym w:font="Mathematica1" w:char="F0AE"/>
      </w:r>
      <w:r w:rsidR="0048524C">
        <w:t xml:space="preserve"> </w:t>
      </w:r>
      <w:proofErr w:type="spellStart"/>
      <w:r w:rsidR="0048524C">
        <w:t>N</w:t>
      </w:r>
      <w:proofErr w:type="spellEnd"/>
      <w:r w:rsidR="0048524C">
        <w:t xml:space="preserve"> be defined as follows:     </w:t>
      </w:r>
      <w:proofErr w:type="gramStart"/>
      <w:r w:rsidR="0048524C">
        <w:t>f(</w:t>
      </w:r>
      <w:proofErr w:type="gramEnd"/>
      <w:r w:rsidR="0048524C">
        <w:t>a) = a+2.</w:t>
      </w:r>
    </w:p>
    <w:p w:rsidR="00C70474" w:rsidRDefault="00C70474" w:rsidP="00C70474">
      <w:pPr>
        <w:pStyle w:val="ListParagraph"/>
      </w:pPr>
      <w:bookmarkStart w:id="0" w:name="_GoBack"/>
      <w:bookmarkEnd w:id="0"/>
    </w:p>
    <w:p w:rsidR="0048524C" w:rsidRDefault="003779A2" w:rsidP="00C70474">
      <w:pPr>
        <w:pStyle w:val="ListParagraph"/>
      </w:pPr>
      <w:r>
        <w:t xml:space="preserve"> </w:t>
      </w:r>
      <w:r w:rsidR="0048524C">
        <w:t xml:space="preserve">Let   g: N </w:t>
      </w:r>
      <w:r w:rsidR="0048524C">
        <w:sym w:font="Mathematica1" w:char="F0AE"/>
      </w:r>
      <w:r w:rsidR="0048524C">
        <w:t xml:space="preserve"> </w:t>
      </w:r>
      <w:proofErr w:type="spellStart"/>
      <w:r w:rsidR="0048524C">
        <w:t>N</w:t>
      </w:r>
      <w:proofErr w:type="spellEnd"/>
      <w:r w:rsidR="0048524C">
        <w:t xml:space="preserve"> be defined as follows:     </w:t>
      </w:r>
      <w:proofErr w:type="gramStart"/>
      <w:r w:rsidR="0048524C">
        <w:t>g(</w:t>
      </w:r>
      <w:proofErr w:type="gramEnd"/>
      <w:r w:rsidR="0048524C">
        <w:t>a) = a+1.</w:t>
      </w:r>
    </w:p>
    <w:p w:rsidR="0048524C" w:rsidRDefault="0048524C" w:rsidP="0048524C">
      <w:pPr>
        <w:pStyle w:val="ListParagraph"/>
      </w:pPr>
    </w:p>
    <w:p w:rsidR="00384667" w:rsidRDefault="0048524C" w:rsidP="00C70474">
      <w:r>
        <w:t xml:space="preserve"> </w:t>
      </w:r>
      <w:r w:rsidR="003779A2">
        <w:tab/>
      </w:r>
      <w:r w:rsidR="00384667">
        <w:t xml:space="preserve">Let   f: N </w:t>
      </w:r>
      <w:r w:rsidR="00384667">
        <w:sym w:font="Mathematica1" w:char="F0AE"/>
      </w:r>
      <w:r w:rsidR="00384667">
        <w:t xml:space="preserve"> </w:t>
      </w:r>
      <w:proofErr w:type="spellStart"/>
      <w:r w:rsidR="00384667">
        <w:t>N</w:t>
      </w:r>
      <w:proofErr w:type="spellEnd"/>
      <w:r w:rsidR="00384667">
        <w:t xml:space="preserve"> be defined as follows:     </w:t>
      </w:r>
      <w:proofErr w:type="gramStart"/>
      <w:r w:rsidR="00384667">
        <w:t>f(</w:t>
      </w:r>
      <w:proofErr w:type="gramEnd"/>
      <w:r w:rsidR="00384667">
        <w:t>a) = 2a</w:t>
      </w:r>
    </w:p>
    <w:p w:rsidR="00384667" w:rsidRPr="0016661C" w:rsidRDefault="00384667" w:rsidP="00384667">
      <w:pPr>
        <w:pStyle w:val="ListParagraph"/>
      </w:pPr>
    </w:p>
    <w:p w:rsidR="00384667" w:rsidRDefault="00384667" w:rsidP="00384667">
      <w:pPr>
        <w:pStyle w:val="ListParagraph"/>
      </w:pPr>
      <w:r>
        <w:t xml:space="preserve">Let   g: N </w:t>
      </w:r>
      <w:r>
        <w:sym w:font="Mathematica1" w:char="F0AE"/>
      </w:r>
      <w:r>
        <w:t xml:space="preserve"> </w:t>
      </w:r>
      <w:proofErr w:type="spellStart"/>
      <w:r>
        <w:t>N</w:t>
      </w:r>
      <w:proofErr w:type="spellEnd"/>
      <w:r>
        <w:t xml:space="preserve"> be defined as follows:     </w:t>
      </w:r>
      <w:proofErr w:type="gramStart"/>
      <w:r>
        <w:t>g(</w:t>
      </w:r>
      <w:proofErr w:type="gramEnd"/>
      <w:r>
        <w:t>a) = 2a+1.</w:t>
      </w:r>
    </w:p>
    <w:p w:rsidR="00AE3F3B" w:rsidRDefault="00AE3F3B" w:rsidP="00384667">
      <w:pPr>
        <w:pStyle w:val="ListParagraph"/>
      </w:pPr>
    </w:p>
    <w:p w:rsidR="00AE3F3B" w:rsidRDefault="00AE3F3B" w:rsidP="00384667">
      <w:pPr>
        <w:pStyle w:val="ListParagraph"/>
      </w:pPr>
    </w:p>
    <w:p w:rsidR="00AE3F3B" w:rsidRDefault="00AE3F3B" w:rsidP="00384667">
      <w:pPr>
        <w:pStyle w:val="ListParagraph"/>
      </w:pPr>
    </w:p>
    <w:p w:rsidR="00384667" w:rsidRDefault="00384667" w:rsidP="00384667">
      <w:pPr>
        <w:pStyle w:val="ListParagraph"/>
      </w:pPr>
    </w:p>
    <w:p w:rsidR="00384667" w:rsidRDefault="00384667" w:rsidP="00384667">
      <w:pPr>
        <w:pStyle w:val="ListParagraph"/>
        <w:numPr>
          <w:ilvl w:val="0"/>
          <w:numId w:val="12"/>
        </w:numPr>
      </w:pPr>
      <w:r>
        <w:t xml:space="preserve">  Let   f: N </w:t>
      </w:r>
      <w:r>
        <w:sym w:font="Mathematica1" w:char="F0AE"/>
      </w:r>
      <w:r>
        <w:t xml:space="preserve"> Z be defined as follows:     f(a) = a</w:t>
      </w:r>
    </w:p>
    <w:p w:rsidR="00384667" w:rsidRPr="0016661C" w:rsidRDefault="00384667" w:rsidP="00384667">
      <w:pPr>
        <w:pStyle w:val="ListParagraph"/>
      </w:pPr>
    </w:p>
    <w:p w:rsidR="00384667" w:rsidRDefault="00384667" w:rsidP="00384667">
      <w:pPr>
        <w:pStyle w:val="ListParagraph"/>
      </w:pPr>
      <w:r>
        <w:t xml:space="preserve">Let   g: Z </w:t>
      </w:r>
      <w:r>
        <w:sym w:font="Mathematica1" w:char="F0AE"/>
      </w:r>
      <w:r>
        <w:t xml:space="preserve"> N be defined as follows:  </w:t>
      </w:r>
      <w:r w:rsidR="00C70474" w:rsidRPr="00384667">
        <w:rPr>
          <w:position w:val="-30"/>
        </w:rPr>
        <w:object w:dxaOrig="2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6pt" o:ole="">
            <v:imagedata r:id="rId7" o:title=""/>
          </v:shape>
          <o:OLEObject Type="Embed" ProgID="Equation.3" ShapeID="_x0000_i1025" DrawAspect="Content" ObjectID="_1510482715" r:id="rId8"/>
        </w:object>
      </w:r>
    </w:p>
    <w:p w:rsidR="00AE3F3B" w:rsidRDefault="00AE3F3B" w:rsidP="00384667">
      <w:pPr>
        <w:pStyle w:val="ListParagraph"/>
      </w:pPr>
    </w:p>
    <w:p w:rsidR="00C70474" w:rsidRDefault="00C70474" w:rsidP="00384667">
      <w:pPr>
        <w:pStyle w:val="ListParagraph"/>
      </w:pPr>
    </w:p>
    <w:p w:rsidR="00384667" w:rsidRDefault="00384667" w:rsidP="00384667">
      <w:pPr>
        <w:pStyle w:val="ListParagraph"/>
        <w:numPr>
          <w:ilvl w:val="0"/>
          <w:numId w:val="12"/>
        </w:numPr>
      </w:pPr>
      <w:r>
        <w:t xml:space="preserve">  Let   f: Z </w:t>
      </w:r>
      <w:r>
        <w:sym w:font="Mathematica1" w:char="F0AE"/>
      </w:r>
      <w:r>
        <w:t xml:space="preserve"> Z be defined as follows:     </w:t>
      </w:r>
      <w:r w:rsidR="00AE3F3B">
        <w:t>f(a) = 3</w:t>
      </w:r>
      <w:r>
        <w:t>a</w:t>
      </w:r>
    </w:p>
    <w:p w:rsidR="00384667" w:rsidRPr="0016661C" w:rsidRDefault="00384667" w:rsidP="00384667">
      <w:pPr>
        <w:pStyle w:val="ListParagraph"/>
      </w:pPr>
    </w:p>
    <w:p w:rsidR="00F533D3" w:rsidRDefault="00384667" w:rsidP="00AE3F3B">
      <w:pPr>
        <w:pStyle w:val="ListParagraph"/>
      </w:pPr>
      <w:r>
        <w:t xml:space="preserve">Let   g: Z </w:t>
      </w:r>
      <w:r>
        <w:sym w:font="Mathematica1" w:char="F0AE"/>
      </w:r>
      <w:r>
        <w:t xml:space="preserve"> </w:t>
      </w:r>
      <w:proofErr w:type="spellStart"/>
      <w:r>
        <w:t>Z</w:t>
      </w:r>
      <w:proofErr w:type="spellEnd"/>
      <w:r>
        <w:t xml:space="preserve"> be defined as follows:     </w:t>
      </w:r>
      <w:proofErr w:type="gramStart"/>
      <w:r>
        <w:t>g(</w:t>
      </w:r>
      <w:proofErr w:type="gramEnd"/>
      <w:r>
        <w:t xml:space="preserve">a) = </w:t>
      </w:r>
      <w:r w:rsidR="00AE3F3B">
        <w:t>3</w:t>
      </w:r>
      <w:r>
        <w:t>a+1.</w:t>
      </w:r>
    </w:p>
    <w:p w:rsidR="009D5538" w:rsidRDefault="009D5538" w:rsidP="00AE3F3B">
      <w:pPr>
        <w:pStyle w:val="ListParagraph"/>
      </w:pPr>
    </w:p>
    <w:p w:rsidR="009D5538" w:rsidRPr="009D5538" w:rsidRDefault="009D5538" w:rsidP="009D5538">
      <w:pPr>
        <w:pStyle w:val="Heading2"/>
        <w:pBdr>
          <w:bottom w:val="single" w:sz="6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Style w:val="mw-headline"/>
          <w:rFonts w:ascii="Georgia" w:hAnsi="Georgia"/>
          <w:b/>
          <w:bCs/>
          <w:color w:val="000000"/>
        </w:rPr>
        <w:t>History</w:t>
      </w:r>
      <w:r>
        <w:rPr>
          <w:rStyle w:val="mw-editsection-bracket"/>
          <w:rFonts w:ascii="Arial" w:hAnsi="Arial" w:cs="Arial"/>
          <w:b/>
          <w:bCs/>
          <w:color w:val="555555"/>
          <w:sz w:val="24"/>
          <w:szCs w:val="24"/>
        </w:rPr>
        <w:t xml:space="preserve">  </w:t>
      </w:r>
      <w:r w:rsidRPr="009D5538">
        <w:rPr>
          <w:rStyle w:val="mw-editsection-bracket"/>
          <w:rFonts w:ascii="Times New Roman" w:hAnsi="Times New Roman" w:cs="Times New Roman"/>
          <w:bCs/>
          <w:color w:val="555555"/>
          <w:sz w:val="24"/>
          <w:szCs w:val="24"/>
        </w:rPr>
        <w:t>(</w:t>
      </w:r>
      <w:proofErr w:type="gramEnd"/>
      <w:r w:rsidRPr="009D5538">
        <w:rPr>
          <w:rStyle w:val="mw-editsection-bracket"/>
          <w:rFonts w:ascii="Times New Roman" w:hAnsi="Times New Roman" w:cs="Times New Roman"/>
          <w:bCs/>
          <w:color w:val="555555"/>
          <w:sz w:val="24"/>
          <w:szCs w:val="24"/>
        </w:rPr>
        <w:t>Wikipedia)</w:t>
      </w:r>
    </w:p>
    <w:p w:rsidR="009D5538" w:rsidRDefault="009D5538" w:rsidP="009D553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traditional name "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Schröder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-Bernstein" is based on two proofs published independently in 1898. Cantor is often added because he first stated the theorem in 1895, while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Schröder's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name is often omitted because his proof turned out to be flawed while the name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Richard Dedekind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Richard Dedekind</w:t>
        </w:r>
      </w:hyperlink>
      <w:r>
        <w:rPr>
          <w:rFonts w:ascii="Arial" w:hAnsi="Arial" w:cs="Arial"/>
          <w:color w:val="252525"/>
          <w:sz w:val="21"/>
          <w:szCs w:val="21"/>
        </w:rPr>
        <w:t>, who first proved it, is not connected with the theorem. According to Bernstein, Cantor had suggested the name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equivalence theorem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Äquivalenzsatz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9D5538" w:rsidRDefault="009D5538" w:rsidP="00C273FF">
      <w:pPr>
        <w:shd w:val="clear" w:color="auto" w:fill="F9F9F9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>
            <wp:extent cx="3990975" cy="1161012"/>
            <wp:effectExtent l="0" t="0" r="0" b="0"/>
            <wp:docPr id="3" name="Picture 3" descr="https://upload.wikimedia.org/wikipedia/commons/thumb/8/8b/CantorEquivalenceTheorem1887b.gif/220px-CantorEquivalenceTheorem1887b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b/CantorEquivalenceTheorem1887b.gif/220px-CantorEquivalenceTheorem1887b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15" cy="11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38" w:rsidRDefault="009D5538" w:rsidP="009D5538">
      <w:pPr>
        <w:shd w:val="clear" w:color="auto" w:fill="F9F9F9"/>
        <w:spacing w:line="336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Cantor's first statement of the theorem (1887)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1887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Cantor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publishes the theorem, however without proof.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1887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On July 11,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Dedekind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proves the theorem (not relying on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Axiom of choic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axiom of choice</w:t>
        </w:r>
      </w:hyperlink>
      <w:r>
        <w:rPr>
          <w:rFonts w:ascii="Arial" w:hAnsi="Arial" w:cs="Arial"/>
          <w:color w:val="252525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but neither publishes his proof nor tells Cantor about it.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Ernst Zermelo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Ernst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Zermelo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discovered Dedekind's proof and in 1908 he publishes his own proof based on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chain theory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from Dedekind's paper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252525"/>
          <w:sz w:val="21"/>
          <w:szCs w:val="21"/>
        </w:rPr>
        <w:t>Was</w:t>
      </w:r>
      <w:proofErr w:type="gram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sind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und was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sollen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die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Zahlen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?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1895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Cantor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states the theorem in his first paper on set theory and transfinite numbers. He obtains it as an easy consequence of the linear order of cardinal numbers. 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However, he couldn't </w:t>
      </w:r>
      <w:r>
        <w:rPr>
          <w:rFonts w:ascii="Arial" w:hAnsi="Arial" w:cs="Arial"/>
          <w:color w:val="252525"/>
          <w:sz w:val="21"/>
          <w:szCs w:val="21"/>
        </w:rPr>
        <w:lastRenderedPageBreak/>
        <w:t>prove the latter theorem, which is shown in 1915 to be equivalent to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Axiom of choic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axiom of choice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Friedrich Moritz Hartog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Friedrich Moritz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Hartogs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1896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Schröder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announces a proof (as a corollary of a theorem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William Stanley Jevon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Jevons</w:t>
        </w:r>
      </w:hyperlink>
      <w:r>
        <w:rPr>
          <w:rFonts w:ascii="Arial" w:hAnsi="Arial" w:cs="Arial"/>
          <w:color w:val="252525"/>
          <w:sz w:val="21"/>
          <w:szCs w:val="21"/>
        </w:rPr>
        <w:t>)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1896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Schröder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publishes a proof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sketch</w:t>
      </w:r>
      <w:proofErr w:type="gramEnd"/>
      <w:r>
        <w:rPr>
          <w:rFonts w:ascii="Arial" w:hAnsi="Arial" w:cs="Arial"/>
          <w:color w:val="252525"/>
          <w:sz w:val="17"/>
          <w:szCs w:val="17"/>
          <w:vertAlign w:val="superscript"/>
        </w:rPr>
        <w:fldChar w:fldCharType="begin"/>
      </w:r>
      <w:r>
        <w:rPr>
          <w:rFonts w:ascii="Arial" w:hAnsi="Arial" w:cs="Arial"/>
          <w:color w:val="252525"/>
          <w:sz w:val="17"/>
          <w:szCs w:val="17"/>
          <w:vertAlign w:val="superscript"/>
        </w:rPr>
        <w:instrText xml:space="preserve"> HYPERLINK "https://en.wikipedia.org/wiki/Schr%C3%B6der%E2%80%93Bernstein_theorem" \l "cite_note-14" </w:instrText>
      </w:r>
      <w:r>
        <w:rPr>
          <w:rFonts w:ascii="Arial" w:hAnsi="Arial" w:cs="Arial"/>
          <w:color w:val="252525"/>
          <w:sz w:val="17"/>
          <w:szCs w:val="17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vertAlign w:val="superscript"/>
        </w:rPr>
        <w:t>[14]</w:t>
      </w:r>
      <w:r>
        <w:rPr>
          <w:rFonts w:ascii="Arial" w:hAnsi="Arial" w:cs="Arial"/>
          <w:color w:val="252525"/>
          <w:sz w:val="17"/>
          <w:szCs w:val="17"/>
          <w:vertAlign w:val="superscript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which, however, is shown to be faulty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"https://en.wikipedia.org/wiki/Alwin_Reinhold_Korselt" \o "Alwin Reinhold Korselt"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Alwin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Reinhold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</w:rPr>
        <w:t>Korselt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1911</w:t>
      </w:r>
      <w:hyperlink r:id="rId17" w:anchor="cite_note-15" w:history="1">
        <w:r>
          <w:rPr>
            <w:rStyle w:val="Hyperlink"/>
            <w:rFonts w:ascii="Arial" w:hAnsi="Arial" w:cs="Arial"/>
            <w:color w:val="0B0080"/>
            <w:sz w:val="17"/>
            <w:szCs w:val="17"/>
            <w:vertAlign w:val="superscript"/>
          </w:rPr>
          <w:t>[15]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(confirmed by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Schröder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).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1897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Bernstein</w:t>
      </w:r>
      <w:r>
        <w:rPr>
          <w:rFonts w:ascii="Arial" w:hAnsi="Arial" w:cs="Arial"/>
          <w:color w:val="252525"/>
          <w:sz w:val="21"/>
          <w:szCs w:val="21"/>
        </w:rPr>
        <w:t>, a 19 years old student in Cantor's Seminar, presents his proof.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1897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Almost simultaneously, but independently,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Schröder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finds a proof.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1897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After a visit by Bernstein,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Dedekind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independently proves the theorem a second time.</w:t>
      </w:r>
    </w:p>
    <w:p w:rsidR="009D5538" w:rsidRDefault="009D5538" w:rsidP="009D5538">
      <w:pPr>
        <w:numPr>
          <w:ilvl w:val="0"/>
          <w:numId w:val="1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1898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Bernstein'</w:t>
      </w:r>
      <w:r>
        <w:rPr>
          <w:rFonts w:ascii="Arial" w:hAnsi="Arial" w:cs="Arial"/>
          <w:color w:val="252525"/>
          <w:sz w:val="21"/>
          <w:szCs w:val="21"/>
        </w:rPr>
        <w:t>s proof (not relying on the axiom of choice) is published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"https://en.wikipedia.org/wiki/%C3%89mile_Borel" \o "Émile Borel"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</w:rPr>
        <w:t>Émile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</w:rPr>
        <w:t>Borel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his book on functions.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(Communicated by Cantor at the 1897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International Congress of Mathematician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International Congress of Mathematicians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in Zürich.) In the same year, the proof also appears in </w:t>
      </w:r>
      <w:r>
        <w:rPr>
          <w:rFonts w:ascii="Arial" w:hAnsi="Arial" w:cs="Arial"/>
          <w:b/>
          <w:bCs/>
          <w:color w:val="252525"/>
          <w:sz w:val="21"/>
          <w:szCs w:val="21"/>
        </w:rPr>
        <w:t>Bernstein'</w:t>
      </w:r>
      <w:r>
        <w:rPr>
          <w:rFonts w:ascii="Arial" w:hAnsi="Arial" w:cs="Arial"/>
          <w:color w:val="252525"/>
          <w:sz w:val="21"/>
          <w:szCs w:val="21"/>
        </w:rPr>
        <w:t>s dissertation.</w:t>
      </w:r>
    </w:p>
    <w:p w:rsidR="009D5538" w:rsidRDefault="009D5538" w:rsidP="009D553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Both proofs of Dedekind are based on his famous memoir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i/>
          <w:iCs/>
          <w:color w:val="252525"/>
          <w:sz w:val="21"/>
          <w:szCs w:val="21"/>
        </w:rPr>
        <w:t>Was</w:t>
      </w:r>
      <w:proofErr w:type="gram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sind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und was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sollen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die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Zahlen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?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and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derive it as a corollary of a proposition equivalent to statement C in Cantor's paper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which reads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Cambria Math" w:hAnsi="Cambria Math" w:cs="Cambria Math"/>
          <w:color w:val="252525"/>
          <w:sz w:val="21"/>
          <w:szCs w:val="21"/>
        </w:rPr>
        <w:t>⊆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B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Cambria Math" w:hAnsi="Cambria Math" w:cs="Cambria Math"/>
          <w:color w:val="252525"/>
          <w:sz w:val="21"/>
          <w:szCs w:val="21"/>
        </w:rPr>
        <w:t>⊆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C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|</w:t>
      </w:r>
      <w:r>
        <w:rPr>
          <w:rFonts w:ascii="Arial" w:hAnsi="Arial" w:cs="Arial"/>
          <w:i/>
          <w:iCs/>
          <w:color w:val="252525"/>
          <w:sz w:val="21"/>
          <w:szCs w:val="21"/>
        </w:rPr>
        <w:t>A</w:t>
      </w:r>
      <w:r>
        <w:rPr>
          <w:rFonts w:ascii="Arial" w:hAnsi="Arial" w:cs="Arial"/>
          <w:color w:val="252525"/>
          <w:sz w:val="21"/>
          <w:szCs w:val="21"/>
        </w:rPr>
        <w:t>|=|</w:t>
      </w:r>
      <w:r>
        <w:rPr>
          <w:rFonts w:ascii="Arial" w:hAnsi="Arial" w:cs="Arial"/>
          <w:i/>
          <w:iCs/>
          <w:color w:val="252525"/>
          <w:sz w:val="21"/>
          <w:szCs w:val="21"/>
        </w:rPr>
        <w:t>C</w:t>
      </w:r>
      <w:r>
        <w:rPr>
          <w:rFonts w:ascii="Arial" w:hAnsi="Arial" w:cs="Arial"/>
          <w:color w:val="252525"/>
          <w:sz w:val="21"/>
          <w:szCs w:val="21"/>
        </w:rPr>
        <w:t>| implies |</w:t>
      </w:r>
      <w:r>
        <w:rPr>
          <w:rFonts w:ascii="Arial" w:hAnsi="Arial" w:cs="Arial"/>
          <w:i/>
          <w:iCs/>
          <w:color w:val="252525"/>
          <w:sz w:val="21"/>
          <w:szCs w:val="21"/>
        </w:rPr>
        <w:t>A</w:t>
      </w:r>
      <w:r>
        <w:rPr>
          <w:rFonts w:ascii="Arial" w:hAnsi="Arial" w:cs="Arial"/>
          <w:color w:val="252525"/>
          <w:sz w:val="21"/>
          <w:szCs w:val="21"/>
        </w:rPr>
        <w:t>|=|</w:t>
      </w:r>
      <w:r>
        <w:rPr>
          <w:rFonts w:ascii="Arial" w:hAnsi="Arial" w:cs="Arial"/>
          <w:i/>
          <w:iCs/>
          <w:color w:val="252525"/>
          <w:sz w:val="21"/>
          <w:szCs w:val="21"/>
        </w:rPr>
        <w:t>B</w:t>
      </w:r>
      <w:r>
        <w:rPr>
          <w:rFonts w:ascii="Arial" w:hAnsi="Arial" w:cs="Arial"/>
          <w:color w:val="252525"/>
          <w:sz w:val="21"/>
          <w:szCs w:val="21"/>
        </w:rPr>
        <w:t>|=|</w:t>
      </w:r>
      <w:r>
        <w:rPr>
          <w:rFonts w:ascii="Arial" w:hAnsi="Arial" w:cs="Arial"/>
          <w:i/>
          <w:iCs/>
          <w:color w:val="252525"/>
          <w:sz w:val="21"/>
          <w:szCs w:val="21"/>
        </w:rPr>
        <w:t>C</w:t>
      </w:r>
      <w:r>
        <w:rPr>
          <w:rFonts w:ascii="Arial" w:hAnsi="Arial" w:cs="Arial"/>
          <w:color w:val="252525"/>
          <w:sz w:val="21"/>
          <w:szCs w:val="21"/>
        </w:rPr>
        <w:t>|. Cantor observed this property as early as 1882/83 during his studies in set theory and transfinite numbers and therefore (implicitly) relying on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Axiom of Choic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Axiom of Choice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C273FF" w:rsidRDefault="00C273FF" w:rsidP="009D553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C273FF" w:rsidRDefault="00C273FF" w:rsidP="009D553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9D5538" w:rsidRPr="00AE3F3B" w:rsidRDefault="00C273FF" w:rsidP="00C273FF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3943350" cy="2326577"/>
            <wp:effectExtent l="0" t="0" r="0" b="0"/>
            <wp:docPr id="9" name="Picture 9" descr="dedekind_ddr_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dekind_ddr_19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90" cy="23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38" w:rsidRPr="00AE3F3B" w:rsidSect="000512F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89D"/>
    <w:multiLevelType w:val="hybridMultilevel"/>
    <w:tmpl w:val="BF86FF5A"/>
    <w:lvl w:ilvl="0" w:tplc="447A7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055"/>
    <w:multiLevelType w:val="hybridMultilevel"/>
    <w:tmpl w:val="2D64AC10"/>
    <w:lvl w:ilvl="0" w:tplc="964099E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A6484"/>
    <w:multiLevelType w:val="hybridMultilevel"/>
    <w:tmpl w:val="FB269E3A"/>
    <w:lvl w:ilvl="0" w:tplc="3CBC4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7DD2"/>
    <w:multiLevelType w:val="hybridMultilevel"/>
    <w:tmpl w:val="55F06C8A"/>
    <w:lvl w:ilvl="0" w:tplc="2C54E3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1D3F"/>
    <w:multiLevelType w:val="hybridMultilevel"/>
    <w:tmpl w:val="EA1A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02401"/>
    <w:multiLevelType w:val="hybridMultilevel"/>
    <w:tmpl w:val="562C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9129A6"/>
    <w:multiLevelType w:val="multilevel"/>
    <w:tmpl w:val="E2DE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E1359"/>
    <w:multiLevelType w:val="hybridMultilevel"/>
    <w:tmpl w:val="A13C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5098"/>
    <w:multiLevelType w:val="hybridMultilevel"/>
    <w:tmpl w:val="8D00E27E"/>
    <w:lvl w:ilvl="0" w:tplc="819496B6">
      <w:start w:val="1"/>
      <w:numFmt w:val="upp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34B5F98"/>
    <w:multiLevelType w:val="hybridMultilevel"/>
    <w:tmpl w:val="1AB0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D6F33"/>
    <w:rsid w:val="00020ACA"/>
    <w:rsid w:val="00033698"/>
    <w:rsid w:val="000512F5"/>
    <w:rsid w:val="0006169F"/>
    <w:rsid w:val="00070D2F"/>
    <w:rsid w:val="0008353E"/>
    <w:rsid w:val="000B231A"/>
    <w:rsid w:val="000B4C7F"/>
    <w:rsid w:val="000D3340"/>
    <w:rsid w:val="00105DA5"/>
    <w:rsid w:val="00105FEF"/>
    <w:rsid w:val="00112A0E"/>
    <w:rsid w:val="00147EDC"/>
    <w:rsid w:val="00154841"/>
    <w:rsid w:val="0016661C"/>
    <w:rsid w:val="001C6813"/>
    <w:rsid w:val="002051B8"/>
    <w:rsid w:val="002164B5"/>
    <w:rsid w:val="002418AB"/>
    <w:rsid w:val="0027395F"/>
    <w:rsid w:val="002A6111"/>
    <w:rsid w:val="002B5A41"/>
    <w:rsid w:val="002C1C93"/>
    <w:rsid w:val="002E387E"/>
    <w:rsid w:val="0033342D"/>
    <w:rsid w:val="0035015C"/>
    <w:rsid w:val="003779A2"/>
    <w:rsid w:val="00384667"/>
    <w:rsid w:val="003B0771"/>
    <w:rsid w:val="003B183E"/>
    <w:rsid w:val="003B2760"/>
    <w:rsid w:val="003C49EF"/>
    <w:rsid w:val="003D6D5D"/>
    <w:rsid w:val="003F6B7C"/>
    <w:rsid w:val="004121D0"/>
    <w:rsid w:val="0046796D"/>
    <w:rsid w:val="0048524C"/>
    <w:rsid w:val="004B454C"/>
    <w:rsid w:val="004D6D41"/>
    <w:rsid w:val="004E20C7"/>
    <w:rsid w:val="00554C83"/>
    <w:rsid w:val="0055756E"/>
    <w:rsid w:val="005817F7"/>
    <w:rsid w:val="005B2BA7"/>
    <w:rsid w:val="005C52D2"/>
    <w:rsid w:val="005F40C8"/>
    <w:rsid w:val="00616021"/>
    <w:rsid w:val="00661D17"/>
    <w:rsid w:val="006C050B"/>
    <w:rsid w:val="006C2878"/>
    <w:rsid w:val="006D6F33"/>
    <w:rsid w:val="007235A5"/>
    <w:rsid w:val="00730DB0"/>
    <w:rsid w:val="0073574B"/>
    <w:rsid w:val="00761D17"/>
    <w:rsid w:val="007745F8"/>
    <w:rsid w:val="007915D3"/>
    <w:rsid w:val="007E56FE"/>
    <w:rsid w:val="00807246"/>
    <w:rsid w:val="00827ED1"/>
    <w:rsid w:val="008335A9"/>
    <w:rsid w:val="00850C12"/>
    <w:rsid w:val="008818A2"/>
    <w:rsid w:val="008B4C97"/>
    <w:rsid w:val="008C1ACC"/>
    <w:rsid w:val="008E2756"/>
    <w:rsid w:val="009747B1"/>
    <w:rsid w:val="009D5538"/>
    <w:rsid w:val="00A376E8"/>
    <w:rsid w:val="00A62C39"/>
    <w:rsid w:val="00AE3F3B"/>
    <w:rsid w:val="00B8591B"/>
    <w:rsid w:val="00BC60C1"/>
    <w:rsid w:val="00BE00F0"/>
    <w:rsid w:val="00BE7076"/>
    <w:rsid w:val="00C044EB"/>
    <w:rsid w:val="00C050A6"/>
    <w:rsid w:val="00C12B5E"/>
    <w:rsid w:val="00C273FF"/>
    <w:rsid w:val="00C608B6"/>
    <w:rsid w:val="00C70474"/>
    <w:rsid w:val="00C93BF5"/>
    <w:rsid w:val="00CB0087"/>
    <w:rsid w:val="00CE66D2"/>
    <w:rsid w:val="00D05920"/>
    <w:rsid w:val="00D512F5"/>
    <w:rsid w:val="00D71BCD"/>
    <w:rsid w:val="00E85C48"/>
    <w:rsid w:val="00E91BEB"/>
    <w:rsid w:val="00ED514A"/>
    <w:rsid w:val="00ED52B8"/>
    <w:rsid w:val="00EE01FF"/>
    <w:rsid w:val="00F533D3"/>
    <w:rsid w:val="00F77698"/>
    <w:rsid w:val="00F823F9"/>
    <w:rsid w:val="00F9153A"/>
    <w:rsid w:val="00FA63EF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67C87-230C-4FED-8CA4-BE2F1C43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5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sid w:val="006D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5D3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9D55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9D5538"/>
  </w:style>
  <w:style w:type="character" w:customStyle="1" w:styleId="mw-editsection">
    <w:name w:val="mw-editsection"/>
    <w:basedOn w:val="DefaultParagraphFont"/>
    <w:rsid w:val="009D5538"/>
  </w:style>
  <w:style w:type="character" w:customStyle="1" w:styleId="mw-editsection-bracket">
    <w:name w:val="mw-editsection-bracket"/>
    <w:basedOn w:val="DefaultParagraphFont"/>
    <w:rsid w:val="009D5538"/>
  </w:style>
  <w:style w:type="paragraph" w:styleId="NormalWeb">
    <w:name w:val="Normal (Web)"/>
    <w:basedOn w:val="Normal"/>
    <w:uiPriority w:val="99"/>
    <w:semiHidden/>
    <w:unhideWhenUsed/>
    <w:rsid w:val="009D55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D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1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5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n.wikipedia.org/wiki/Ernst_Zermelo" TargetMode="External"/><Relationship Id="rId18" Type="http://schemas.openxmlformats.org/officeDocument/2006/relationships/hyperlink" Target="https://en.wikipedia.org/wiki/International_Congress_of_Mathematicia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s://en.wikipedia.org/wiki/Axiom_of_choice" TargetMode="External"/><Relationship Id="rId17" Type="http://schemas.openxmlformats.org/officeDocument/2006/relationships/hyperlink" Target="https://en.wikipedia.org/wiki/Schr%C3%B6der%E2%80%93Bernstein_theor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lliam_Stanley_Jevons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hyperlink" Target="http://www.artofproblemsolving.com/" TargetMode="External"/><Relationship Id="rId15" Type="http://schemas.openxmlformats.org/officeDocument/2006/relationships/hyperlink" Target="https://en.wikipedia.org/wiki/Friedrich_Moritz_Hartogs" TargetMode="External"/><Relationship Id="rId10" Type="http://schemas.openxmlformats.org/officeDocument/2006/relationships/hyperlink" Target="https://en.wikipedia.org/wiki/File:CantorEquivalenceTheorem1887b.gif" TargetMode="External"/><Relationship Id="rId19" Type="http://schemas.openxmlformats.org/officeDocument/2006/relationships/hyperlink" Target="https://en.wikipedia.org/wiki/Axiom_of_Cho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ichard_Dedekind" TargetMode="External"/><Relationship Id="rId14" Type="http://schemas.openxmlformats.org/officeDocument/2006/relationships/hyperlink" Target="https://en.wikipedia.org/wiki/Axiom_of_cho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16</vt:lpstr>
    </vt:vector>
  </TitlesOfParts>
  <Company>Loyola University Chicago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16</dc:title>
  <dc:subject/>
  <dc:creator>ajs</dc:creator>
  <cp:keywords/>
  <dc:description/>
  <cp:lastModifiedBy>Saleski, Alan</cp:lastModifiedBy>
  <cp:revision>13</cp:revision>
  <cp:lastPrinted>2015-12-01T18:16:00Z</cp:lastPrinted>
  <dcterms:created xsi:type="dcterms:W3CDTF">2015-12-01T17:39:00Z</dcterms:created>
  <dcterms:modified xsi:type="dcterms:W3CDTF">2015-12-01T19:45:00Z</dcterms:modified>
</cp:coreProperties>
</file>