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/>
  <w:body>
    <w:p w:rsidR="00A07A3E" w:rsidRPr="00FE20E2" w:rsidRDefault="00333559" w:rsidP="001A5741">
      <w:pPr>
        <w:pStyle w:val="Heading1"/>
        <w:tabs>
          <w:tab w:val="left" w:pos="1440"/>
        </w:tabs>
        <w:spacing w:line="360" w:lineRule="auto"/>
        <w:jc w:val="center"/>
        <w:rPr>
          <w:rFonts w:ascii="Algerian" w:eastAsia="Times New Roman" w:hAnsi="Algerian"/>
          <w:color w:val="0000FF"/>
          <w:szCs w:val="28"/>
        </w:rPr>
      </w:pPr>
      <w:r w:rsidRPr="00FE20E2">
        <w:rPr>
          <w:rFonts w:ascii="Algerian" w:eastAsia="Times New Roman" w:hAnsi="Algerian"/>
          <w:color w:val="0000FF"/>
          <w:szCs w:val="28"/>
        </w:rPr>
        <w:t>Class discussion</w:t>
      </w:r>
      <w:r w:rsidR="00243FE7" w:rsidRPr="00FE20E2">
        <w:rPr>
          <w:rFonts w:ascii="Algerian" w:eastAsia="Times New Roman" w:hAnsi="Algerian"/>
          <w:color w:val="0000FF"/>
          <w:szCs w:val="28"/>
        </w:rPr>
        <w:t>:</w:t>
      </w:r>
      <w:r w:rsidR="00FA726A" w:rsidRPr="00FE20E2">
        <w:rPr>
          <w:rFonts w:ascii="Algerian" w:eastAsia="Times New Roman" w:hAnsi="Algerian"/>
          <w:color w:val="0000FF"/>
          <w:szCs w:val="28"/>
        </w:rPr>
        <w:t xml:space="preserve"> </w:t>
      </w:r>
      <w:r w:rsidR="001A5741" w:rsidRPr="00FE20E2">
        <w:rPr>
          <w:rFonts w:ascii="Algerian" w:eastAsia="Times New Roman" w:hAnsi="Algerian"/>
          <w:color w:val="0000FF"/>
          <w:szCs w:val="28"/>
        </w:rPr>
        <w:t xml:space="preserve">  Mathematical Induction</w:t>
      </w:r>
      <w:r w:rsidR="00FE20E2" w:rsidRPr="00FE20E2">
        <w:rPr>
          <w:rFonts w:ascii="Algerian" w:eastAsia="Times New Roman" w:hAnsi="Algerian"/>
          <w:color w:val="0000FF"/>
          <w:szCs w:val="28"/>
        </w:rPr>
        <w:t>, continued</w:t>
      </w:r>
    </w:p>
    <w:p w:rsidR="001A5741" w:rsidRDefault="001A5741" w:rsidP="001A5741">
      <w:pPr>
        <w:jc w:val="center"/>
        <w:rPr>
          <w:b/>
        </w:rPr>
      </w:pPr>
      <w:r w:rsidRPr="001A5741">
        <w:rPr>
          <w:b/>
        </w:rPr>
        <w:t>1</w:t>
      </w:r>
      <w:r w:rsidR="00E5468B">
        <w:rPr>
          <w:b/>
        </w:rPr>
        <w:t>7</w:t>
      </w:r>
      <w:r w:rsidRPr="001A5741">
        <w:rPr>
          <w:b/>
        </w:rPr>
        <w:t xml:space="preserve"> February 2019</w:t>
      </w:r>
    </w:p>
    <w:p w:rsidR="001F2F13" w:rsidRDefault="00FE20E2" w:rsidP="00FE20E2">
      <w:pPr>
        <w:rPr>
          <w:b/>
        </w:rPr>
      </w:pPr>
      <w:r>
        <w:rPr>
          <w:sz w:val="22"/>
          <w:szCs w:val="22"/>
        </w:rPr>
        <w:t xml:space="preserve"> </w:t>
      </w:r>
    </w:p>
    <w:p w:rsidR="000B4271" w:rsidRDefault="000B4271" w:rsidP="00FE20E2">
      <w:pPr>
        <w:pStyle w:val="PlainText"/>
        <w:jc w:val="center"/>
        <w:rPr>
          <w:rFonts w:ascii="Times New Roman" w:eastAsia="MS Mincho" w:hAnsi="Times New Roman"/>
          <w:i/>
          <w:iCs/>
          <w:color w:val="0000FF"/>
          <w:sz w:val="22"/>
          <w:szCs w:val="22"/>
        </w:rPr>
      </w:pPr>
      <w:r w:rsidRPr="004458EC">
        <w:rPr>
          <w:noProof/>
          <w:sz w:val="22"/>
          <w:szCs w:val="22"/>
        </w:rPr>
        <w:drawing>
          <wp:inline distT="0" distB="0" distL="0" distR="0" wp14:anchorId="25AE16E4" wp14:editId="22B0E226">
            <wp:extent cx="2871387" cy="1581566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5416" cy="158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B77" w:rsidRPr="007E3B77" w:rsidRDefault="007E3B77" w:rsidP="007E3B77">
      <w:pPr>
        <w:pStyle w:val="NormalWeb"/>
        <w:shd w:val="clear" w:color="auto" w:fill="FFFFFF"/>
        <w:spacing w:before="120" w:beforeAutospacing="0" w:after="120" w:afterAutospacing="0"/>
        <w:rPr>
          <w:color w:val="222222"/>
          <w:sz w:val="20"/>
          <w:szCs w:val="20"/>
        </w:rPr>
      </w:pPr>
      <w:r w:rsidRPr="007E3B77">
        <w:rPr>
          <w:b/>
          <w:color w:val="222222"/>
          <w:sz w:val="20"/>
          <w:szCs w:val="20"/>
        </w:rPr>
        <w:t>History</w:t>
      </w:r>
      <w:r w:rsidRPr="007E3B77">
        <w:rPr>
          <w:color w:val="222222"/>
          <w:sz w:val="20"/>
          <w:szCs w:val="20"/>
        </w:rPr>
        <w:t xml:space="preserve"> (Wikipedia)  </w:t>
      </w:r>
      <w:r w:rsidRPr="007E3B77">
        <w:rPr>
          <w:color w:val="222222"/>
          <w:sz w:val="20"/>
          <w:szCs w:val="20"/>
        </w:rPr>
        <w:t>In 370 BC, </w:t>
      </w:r>
      <w:r w:rsidRPr="007E3B77">
        <w:rPr>
          <w:rFonts w:eastAsiaTheme="majorEastAsia"/>
          <w:color w:val="222222"/>
          <w:sz w:val="20"/>
          <w:szCs w:val="20"/>
        </w:rPr>
        <w:t>Plato</w:t>
      </w:r>
      <w:r w:rsidRPr="007E3B77">
        <w:rPr>
          <w:color w:val="222222"/>
          <w:sz w:val="20"/>
          <w:szCs w:val="20"/>
        </w:rPr>
        <w:t>'s </w:t>
      </w:r>
      <w:r w:rsidRPr="007E3B77">
        <w:rPr>
          <w:rFonts w:eastAsiaTheme="majorEastAsia"/>
          <w:color w:val="222222"/>
          <w:sz w:val="20"/>
          <w:szCs w:val="20"/>
        </w:rPr>
        <w:t>Parmenides</w:t>
      </w:r>
      <w:r w:rsidRPr="007E3B77">
        <w:rPr>
          <w:color w:val="222222"/>
          <w:sz w:val="20"/>
          <w:szCs w:val="20"/>
        </w:rPr>
        <w:t> may have contained an early example of an implicit inductive proof.</w:t>
      </w:r>
      <w:r>
        <w:rPr>
          <w:rFonts w:eastAsiaTheme="majorEastAsia"/>
          <w:color w:val="222222"/>
          <w:sz w:val="20"/>
          <w:szCs w:val="20"/>
          <w:vertAlign w:val="superscript"/>
        </w:rPr>
        <w:t xml:space="preserve"> </w:t>
      </w:r>
      <w:r w:rsidRPr="007E3B77">
        <w:rPr>
          <w:color w:val="222222"/>
          <w:sz w:val="20"/>
          <w:szCs w:val="20"/>
        </w:rPr>
        <w:t>The earliest implicit traces of mathematical induction may be found in </w:t>
      </w:r>
      <w:r w:rsidRPr="007E3B77">
        <w:rPr>
          <w:rFonts w:eastAsiaTheme="majorEastAsia"/>
          <w:color w:val="222222"/>
          <w:sz w:val="20"/>
          <w:szCs w:val="20"/>
        </w:rPr>
        <w:t>Euclid</w:t>
      </w:r>
      <w:r w:rsidRPr="007E3B77">
        <w:rPr>
          <w:color w:val="222222"/>
          <w:sz w:val="20"/>
          <w:szCs w:val="20"/>
        </w:rPr>
        <w:t>'s proof that the number of primes is infinite and in </w:t>
      </w:r>
      <w:r w:rsidRPr="007E3B77">
        <w:rPr>
          <w:rFonts w:eastAsiaTheme="majorEastAsia"/>
          <w:color w:val="222222"/>
          <w:sz w:val="20"/>
          <w:szCs w:val="20"/>
        </w:rPr>
        <w:t>Bhaskara</w:t>
      </w:r>
      <w:r w:rsidRPr="007E3B77">
        <w:rPr>
          <w:color w:val="222222"/>
          <w:sz w:val="20"/>
          <w:szCs w:val="20"/>
        </w:rPr>
        <w:t>'s "</w:t>
      </w:r>
      <w:r w:rsidRPr="007E3B77">
        <w:rPr>
          <w:rFonts w:eastAsiaTheme="majorEastAsia"/>
          <w:color w:val="222222"/>
          <w:sz w:val="20"/>
          <w:szCs w:val="20"/>
        </w:rPr>
        <w:t>cyclic method</w:t>
      </w:r>
      <w:r w:rsidRPr="007E3B77">
        <w:rPr>
          <w:color w:val="222222"/>
          <w:sz w:val="20"/>
          <w:szCs w:val="20"/>
        </w:rPr>
        <w:t>".</w:t>
      </w:r>
      <w:r>
        <w:rPr>
          <w:color w:val="222222"/>
          <w:sz w:val="20"/>
          <w:szCs w:val="20"/>
        </w:rPr>
        <w:t xml:space="preserve"> </w:t>
      </w:r>
      <w:r w:rsidRPr="007E3B77">
        <w:rPr>
          <w:color w:val="222222"/>
          <w:sz w:val="20"/>
          <w:szCs w:val="20"/>
        </w:rPr>
        <w:t>An opposite iterated technique, counting </w:t>
      </w:r>
      <w:r w:rsidRPr="007E3B77">
        <w:rPr>
          <w:i/>
          <w:iCs/>
          <w:color w:val="222222"/>
          <w:sz w:val="20"/>
          <w:szCs w:val="20"/>
        </w:rPr>
        <w:t>down</w:t>
      </w:r>
      <w:r w:rsidRPr="007E3B77">
        <w:rPr>
          <w:color w:val="222222"/>
          <w:sz w:val="20"/>
          <w:szCs w:val="20"/>
        </w:rPr>
        <w:t> rather than up, is found in the </w:t>
      </w:r>
      <w:r w:rsidRPr="007E3B77">
        <w:rPr>
          <w:rFonts w:eastAsiaTheme="majorEastAsia"/>
          <w:color w:val="222222"/>
          <w:sz w:val="20"/>
          <w:szCs w:val="20"/>
        </w:rPr>
        <w:t>Sorites paradox</w:t>
      </w:r>
      <w:r w:rsidRPr="007E3B77">
        <w:rPr>
          <w:color w:val="222222"/>
          <w:sz w:val="20"/>
          <w:szCs w:val="20"/>
        </w:rPr>
        <w:t>, where it was argued that if 1,000,000 grains of sand formed a heap, and removing one grain from a heap left it a heap, then a single grain of sand (or even no grains) forms a heap.</w:t>
      </w:r>
    </w:p>
    <w:p w:rsidR="007E3B77" w:rsidRPr="007E3B77" w:rsidRDefault="007E3B77" w:rsidP="007E3B77">
      <w:pPr>
        <w:pStyle w:val="NormalWeb"/>
        <w:shd w:val="clear" w:color="auto" w:fill="FFFFFF"/>
        <w:spacing w:before="120" w:beforeAutospacing="0" w:after="120" w:afterAutospacing="0"/>
        <w:rPr>
          <w:color w:val="222222"/>
          <w:sz w:val="20"/>
          <w:szCs w:val="20"/>
        </w:rPr>
      </w:pPr>
      <w:r w:rsidRPr="007E3B77">
        <w:rPr>
          <w:color w:val="222222"/>
          <w:sz w:val="20"/>
          <w:szCs w:val="20"/>
        </w:rPr>
        <w:t>An implicit </w:t>
      </w:r>
      <w:r w:rsidRPr="007E3B77">
        <w:rPr>
          <w:rFonts w:eastAsiaTheme="majorEastAsia"/>
          <w:color w:val="222222"/>
          <w:sz w:val="20"/>
          <w:szCs w:val="20"/>
        </w:rPr>
        <w:t>proof</w:t>
      </w:r>
      <w:r w:rsidRPr="007E3B77">
        <w:rPr>
          <w:color w:val="222222"/>
          <w:sz w:val="20"/>
          <w:szCs w:val="20"/>
        </w:rPr>
        <w:t> by mathematical induction for </w:t>
      </w:r>
      <w:r w:rsidRPr="007E3B77">
        <w:rPr>
          <w:rFonts w:eastAsiaTheme="majorEastAsia"/>
          <w:color w:val="222222"/>
          <w:sz w:val="20"/>
          <w:szCs w:val="20"/>
        </w:rPr>
        <w:t>arithmetic sequences</w:t>
      </w:r>
      <w:r w:rsidRPr="007E3B77">
        <w:rPr>
          <w:color w:val="222222"/>
          <w:sz w:val="20"/>
          <w:szCs w:val="20"/>
        </w:rPr>
        <w:t> was introduced in the </w:t>
      </w:r>
      <w:r w:rsidRPr="007E3B77">
        <w:rPr>
          <w:b/>
          <w:bCs/>
          <w:color w:val="222222"/>
          <w:sz w:val="20"/>
          <w:szCs w:val="20"/>
        </w:rPr>
        <w:t>al-Fakhri</w:t>
      </w:r>
      <w:r w:rsidRPr="007E3B77">
        <w:rPr>
          <w:color w:val="222222"/>
          <w:sz w:val="20"/>
          <w:szCs w:val="20"/>
        </w:rPr>
        <w:t> written by </w:t>
      </w:r>
      <w:r w:rsidRPr="007E3B77">
        <w:rPr>
          <w:rFonts w:eastAsiaTheme="majorEastAsia"/>
          <w:color w:val="222222"/>
          <w:sz w:val="20"/>
          <w:szCs w:val="20"/>
        </w:rPr>
        <w:t>al-Karaji</w:t>
      </w:r>
      <w:r w:rsidRPr="007E3B77">
        <w:rPr>
          <w:color w:val="222222"/>
          <w:sz w:val="20"/>
          <w:szCs w:val="20"/>
        </w:rPr>
        <w:t> around 1000 AD, who used it to prove the </w:t>
      </w:r>
      <w:r w:rsidRPr="007E3B77">
        <w:rPr>
          <w:rFonts w:eastAsiaTheme="majorEastAsia"/>
          <w:color w:val="222222"/>
          <w:sz w:val="20"/>
          <w:szCs w:val="20"/>
        </w:rPr>
        <w:t>binomial theorem</w:t>
      </w:r>
      <w:r w:rsidRPr="007E3B77">
        <w:rPr>
          <w:color w:val="222222"/>
          <w:sz w:val="20"/>
          <w:szCs w:val="20"/>
        </w:rPr>
        <w:t> and properties of </w:t>
      </w:r>
      <w:r w:rsidRPr="007E3B77">
        <w:rPr>
          <w:rFonts w:eastAsiaTheme="majorEastAsia"/>
          <w:color w:val="222222"/>
          <w:sz w:val="20"/>
          <w:szCs w:val="20"/>
        </w:rPr>
        <w:t>Pascal's triangle</w:t>
      </w:r>
      <w:r w:rsidRPr="007E3B77">
        <w:rPr>
          <w:color w:val="222222"/>
          <w:sz w:val="20"/>
          <w:szCs w:val="20"/>
        </w:rPr>
        <w:t>.</w:t>
      </w:r>
      <w:r w:rsidRPr="007E3B77">
        <w:rPr>
          <w:color w:val="222222"/>
          <w:sz w:val="20"/>
          <w:szCs w:val="20"/>
        </w:rPr>
        <w:t xml:space="preserve"> </w:t>
      </w:r>
    </w:p>
    <w:p w:rsidR="007E3B77" w:rsidRPr="007E3B77" w:rsidRDefault="007E3B77" w:rsidP="007E3B77">
      <w:pPr>
        <w:pStyle w:val="NormalWeb"/>
        <w:shd w:val="clear" w:color="auto" w:fill="FFFFFF"/>
        <w:spacing w:before="120" w:beforeAutospacing="0" w:after="120" w:afterAutospacing="0"/>
        <w:rPr>
          <w:color w:val="222222"/>
          <w:sz w:val="20"/>
          <w:szCs w:val="20"/>
        </w:rPr>
      </w:pPr>
      <w:r w:rsidRPr="007E3B77">
        <w:rPr>
          <w:color w:val="222222"/>
          <w:sz w:val="20"/>
          <w:szCs w:val="20"/>
        </w:rPr>
        <w:t>None of these ancient mathematicians, however, explicitly stated the induction hypothesis. Another similar case (contrary to what Vacca has written, as Freudenthal carefully showed) was that of </w:t>
      </w:r>
      <w:r w:rsidRPr="007E3B77">
        <w:rPr>
          <w:rFonts w:eastAsiaTheme="majorEastAsia"/>
          <w:color w:val="222222"/>
          <w:sz w:val="20"/>
          <w:szCs w:val="20"/>
        </w:rPr>
        <w:t>Francesco Maurolico</w:t>
      </w:r>
      <w:r w:rsidRPr="007E3B77">
        <w:rPr>
          <w:color w:val="222222"/>
          <w:sz w:val="20"/>
          <w:szCs w:val="20"/>
        </w:rPr>
        <w:t> in his </w:t>
      </w:r>
      <w:r w:rsidRPr="007E3B77">
        <w:rPr>
          <w:i/>
          <w:iCs/>
          <w:color w:val="222222"/>
          <w:sz w:val="20"/>
          <w:szCs w:val="20"/>
        </w:rPr>
        <w:t>Arithmeticorum libri duo</w:t>
      </w:r>
      <w:r w:rsidRPr="007E3B77">
        <w:rPr>
          <w:color w:val="222222"/>
          <w:sz w:val="20"/>
          <w:szCs w:val="20"/>
        </w:rPr>
        <w:t> (1575), who used the technique to prove that the sum of the first </w:t>
      </w:r>
      <w:r w:rsidRPr="007E3B77">
        <w:rPr>
          <w:i/>
          <w:iCs/>
          <w:color w:val="222222"/>
          <w:sz w:val="20"/>
          <w:szCs w:val="20"/>
        </w:rPr>
        <w:t>n</w:t>
      </w:r>
      <w:r w:rsidRPr="007E3B77">
        <w:rPr>
          <w:color w:val="222222"/>
          <w:sz w:val="20"/>
          <w:szCs w:val="20"/>
        </w:rPr>
        <w:t> odd integers is </w:t>
      </w:r>
      <w:r w:rsidRPr="007E3B77">
        <w:rPr>
          <w:i/>
          <w:iCs/>
          <w:color w:val="222222"/>
          <w:sz w:val="20"/>
          <w:szCs w:val="20"/>
        </w:rPr>
        <w:t>n</w:t>
      </w:r>
      <w:r w:rsidRPr="007E3B77">
        <w:rPr>
          <w:color w:val="222222"/>
          <w:sz w:val="20"/>
          <w:szCs w:val="20"/>
          <w:vertAlign w:val="superscript"/>
        </w:rPr>
        <w:t>2</w:t>
      </w:r>
      <w:r w:rsidRPr="007E3B77">
        <w:rPr>
          <w:color w:val="222222"/>
          <w:sz w:val="20"/>
          <w:szCs w:val="20"/>
        </w:rPr>
        <w:t>. The first explicit formulation of the principle of induction was given by </w:t>
      </w:r>
      <w:hyperlink r:id="rId9" w:tooltip="Blaise Pascal" w:history="1">
        <w:r w:rsidRPr="007E3B77">
          <w:rPr>
            <w:rStyle w:val="Hyperlink"/>
            <w:rFonts w:eastAsiaTheme="majorEastAsia"/>
            <w:color w:val="0B0080"/>
            <w:sz w:val="20"/>
            <w:szCs w:val="20"/>
          </w:rPr>
          <w:t>Pascal</w:t>
        </w:r>
      </w:hyperlink>
      <w:r w:rsidRPr="007E3B77">
        <w:rPr>
          <w:color w:val="222222"/>
          <w:sz w:val="20"/>
          <w:szCs w:val="20"/>
        </w:rPr>
        <w:t> in his </w:t>
      </w:r>
      <w:r w:rsidRPr="007E3B77">
        <w:rPr>
          <w:i/>
          <w:iCs/>
          <w:color w:val="222222"/>
          <w:sz w:val="20"/>
          <w:szCs w:val="20"/>
        </w:rPr>
        <w:t>Traité du triangle arithmétique</w:t>
      </w:r>
      <w:r w:rsidRPr="007E3B77">
        <w:rPr>
          <w:color w:val="222222"/>
          <w:sz w:val="20"/>
          <w:szCs w:val="20"/>
        </w:rPr>
        <w:t> (1665). Another Frenchman, </w:t>
      </w:r>
      <w:r w:rsidRPr="007E3B77">
        <w:rPr>
          <w:rFonts w:eastAsiaTheme="majorEastAsia"/>
          <w:color w:val="222222"/>
          <w:sz w:val="20"/>
          <w:szCs w:val="20"/>
        </w:rPr>
        <w:t>Fermat</w:t>
      </w:r>
      <w:r w:rsidRPr="007E3B77">
        <w:rPr>
          <w:color w:val="222222"/>
          <w:sz w:val="20"/>
          <w:szCs w:val="20"/>
        </w:rPr>
        <w:t>, made ample use of a related principle, indirect proof by </w:t>
      </w:r>
      <w:r w:rsidRPr="007E3B77">
        <w:rPr>
          <w:rFonts w:eastAsiaTheme="majorEastAsia"/>
          <w:color w:val="222222"/>
          <w:sz w:val="20"/>
          <w:szCs w:val="20"/>
        </w:rPr>
        <w:t>infinite descent</w:t>
      </w:r>
      <w:r w:rsidRPr="007E3B77">
        <w:rPr>
          <w:color w:val="222222"/>
          <w:sz w:val="20"/>
          <w:szCs w:val="20"/>
        </w:rPr>
        <w:t>. The induction hypothesis was also employed by the Swiss </w:t>
      </w:r>
      <w:r w:rsidRPr="007E3B77">
        <w:rPr>
          <w:rFonts w:eastAsiaTheme="majorEastAsia"/>
          <w:color w:val="222222"/>
          <w:sz w:val="20"/>
          <w:szCs w:val="20"/>
        </w:rPr>
        <w:t>Jakob Bernoulli</w:t>
      </w:r>
      <w:r w:rsidRPr="007E3B77">
        <w:rPr>
          <w:color w:val="222222"/>
          <w:sz w:val="20"/>
          <w:szCs w:val="20"/>
        </w:rPr>
        <w:t xml:space="preserve">, and from then on it became more or less well known. The modern rigorous and systematic treatment of the principle came only in the </w:t>
      </w:r>
      <w:r>
        <w:rPr>
          <w:color w:val="222222"/>
          <w:sz w:val="20"/>
          <w:szCs w:val="20"/>
        </w:rPr>
        <w:t>19</w:t>
      </w:r>
      <w:r w:rsidRPr="007E3B77">
        <w:rPr>
          <w:color w:val="222222"/>
          <w:sz w:val="20"/>
          <w:szCs w:val="20"/>
          <w:vertAlign w:val="superscript"/>
        </w:rPr>
        <w:t>th</w:t>
      </w:r>
      <w:r w:rsidRPr="007E3B77">
        <w:rPr>
          <w:color w:val="222222"/>
          <w:sz w:val="20"/>
          <w:szCs w:val="20"/>
        </w:rPr>
        <w:t xml:space="preserve"> century, with </w:t>
      </w:r>
      <w:r w:rsidRPr="007E3B77">
        <w:rPr>
          <w:rFonts w:eastAsiaTheme="majorEastAsia"/>
          <w:color w:val="222222"/>
          <w:sz w:val="20"/>
          <w:szCs w:val="20"/>
        </w:rPr>
        <w:t>George Boole</w:t>
      </w:r>
      <w:r w:rsidRPr="007E3B77">
        <w:rPr>
          <w:color w:val="222222"/>
          <w:sz w:val="20"/>
          <w:szCs w:val="20"/>
        </w:rPr>
        <w:t>,</w:t>
      </w:r>
      <w:r>
        <w:rPr>
          <w:rFonts w:eastAsiaTheme="majorEastAsia"/>
          <w:color w:val="222222"/>
          <w:sz w:val="20"/>
          <w:szCs w:val="20"/>
          <w:vertAlign w:val="superscript"/>
        </w:rPr>
        <w:t xml:space="preserve"> </w:t>
      </w:r>
      <w:r w:rsidRPr="007E3B77">
        <w:rPr>
          <w:rFonts w:eastAsiaTheme="majorEastAsia"/>
          <w:color w:val="222222"/>
          <w:sz w:val="20"/>
          <w:szCs w:val="20"/>
        </w:rPr>
        <w:t>Augustus de Morgan</w:t>
      </w:r>
      <w:r w:rsidRPr="007E3B77">
        <w:rPr>
          <w:color w:val="222222"/>
          <w:sz w:val="20"/>
          <w:szCs w:val="20"/>
        </w:rPr>
        <w:t>, </w:t>
      </w:r>
      <w:r w:rsidRPr="007E3B77">
        <w:rPr>
          <w:rFonts w:eastAsiaTheme="majorEastAsia"/>
          <w:color w:val="222222"/>
          <w:sz w:val="20"/>
          <w:szCs w:val="20"/>
        </w:rPr>
        <w:t>Charles Sanders Peirce</w:t>
      </w:r>
      <w:r w:rsidRPr="007E3B77">
        <w:rPr>
          <w:color w:val="222222"/>
          <w:sz w:val="20"/>
          <w:szCs w:val="20"/>
        </w:rPr>
        <w:t>, </w:t>
      </w:r>
      <w:r w:rsidRPr="007E3B77">
        <w:rPr>
          <w:rFonts w:eastAsiaTheme="majorEastAsia"/>
          <w:color w:val="222222"/>
          <w:sz w:val="20"/>
          <w:szCs w:val="20"/>
        </w:rPr>
        <w:t>Giuseppe Peano</w:t>
      </w:r>
      <w:r w:rsidRPr="007E3B77">
        <w:rPr>
          <w:color w:val="222222"/>
          <w:sz w:val="20"/>
          <w:szCs w:val="20"/>
        </w:rPr>
        <w:t>, and </w:t>
      </w:r>
      <w:r w:rsidRPr="007E3B77">
        <w:rPr>
          <w:rFonts w:eastAsiaTheme="majorEastAsia"/>
          <w:color w:val="222222"/>
          <w:sz w:val="20"/>
          <w:szCs w:val="20"/>
        </w:rPr>
        <w:t>Richard Dedekind</w:t>
      </w:r>
      <w:r w:rsidRPr="007E3B77">
        <w:rPr>
          <w:color w:val="222222"/>
          <w:sz w:val="20"/>
          <w:szCs w:val="20"/>
        </w:rPr>
        <w:t>.</w:t>
      </w:r>
      <w:r w:rsidRPr="007E3B77">
        <w:rPr>
          <w:color w:val="222222"/>
          <w:sz w:val="20"/>
          <w:szCs w:val="20"/>
        </w:rPr>
        <w:t xml:space="preserve"> </w:t>
      </w:r>
    </w:p>
    <w:p w:rsidR="007E3B77" w:rsidRPr="004458EC" w:rsidRDefault="007E3B77" w:rsidP="00FE20E2">
      <w:pPr>
        <w:pStyle w:val="PlainText"/>
        <w:jc w:val="center"/>
        <w:rPr>
          <w:rFonts w:ascii="Times New Roman" w:eastAsia="MS Mincho" w:hAnsi="Times New Roman"/>
          <w:i/>
          <w:iCs/>
          <w:color w:val="0000FF"/>
          <w:sz w:val="22"/>
          <w:szCs w:val="22"/>
        </w:rPr>
      </w:pPr>
      <w:r>
        <w:rPr>
          <w:rFonts w:ascii="Times New Roman" w:eastAsia="MS Mincho" w:hAnsi="Times New Roman"/>
          <w:i/>
          <w:iCs/>
          <w:color w:val="0000FF"/>
          <w:sz w:val="22"/>
          <w:szCs w:val="22"/>
        </w:rPr>
        <w:t xml:space="preserve"> </w:t>
      </w:r>
    </w:p>
    <w:p w:rsidR="00A07A3E" w:rsidRPr="004458EC" w:rsidRDefault="00A07A3E" w:rsidP="00E27746">
      <w:pPr>
        <w:rPr>
          <w:sz w:val="22"/>
          <w:szCs w:val="22"/>
        </w:rPr>
      </w:pPr>
    </w:p>
    <w:p w:rsidR="00A07A3E" w:rsidRPr="004458EC" w:rsidRDefault="00E27746" w:rsidP="000B4271">
      <w:pPr>
        <w:rPr>
          <w:color w:val="800000"/>
          <w:sz w:val="22"/>
          <w:szCs w:val="22"/>
        </w:rPr>
      </w:pPr>
      <w:r>
        <w:rPr>
          <w:b/>
          <w:color w:val="FF00FF"/>
          <w:sz w:val="22"/>
          <w:szCs w:val="22"/>
        </w:rPr>
        <w:t>I</w:t>
      </w:r>
      <w:r w:rsidR="00243FE7" w:rsidRPr="004458EC">
        <w:rPr>
          <w:color w:val="800000"/>
          <w:sz w:val="22"/>
          <w:szCs w:val="22"/>
        </w:rPr>
        <w:t xml:space="preserve">   Using the method of</w:t>
      </w:r>
      <w:r>
        <w:rPr>
          <w:color w:val="800000"/>
          <w:sz w:val="22"/>
          <w:szCs w:val="22"/>
        </w:rPr>
        <w:t xml:space="preserve"> ordinary</w:t>
      </w:r>
      <w:r w:rsidR="00243FE7" w:rsidRPr="004458EC">
        <w:rPr>
          <w:color w:val="800000"/>
          <w:sz w:val="22"/>
          <w:szCs w:val="22"/>
        </w:rPr>
        <w:t xml:space="preserve"> mathematical induction, </w:t>
      </w:r>
      <w:r>
        <w:rPr>
          <w:color w:val="800000"/>
          <w:sz w:val="22"/>
          <w:szCs w:val="22"/>
        </w:rPr>
        <w:t>prove</w:t>
      </w:r>
      <w:r w:rsidR="00243FE7" w:rsidRPr="004458EC">
        <w:rPr>
          <w:color w:val="800000"/>
          <w:sz w:val="22"/>
          <w:szCs w:val="22"/>
        </w:rPr>
        <w:t xml:space="preserve"> each of the following:</w:t>
      </w:r>
    </w:p>
    <w:p w:rsidR="00A07A3E" w:rsidRPr="004458EC" w:rsidRDefault="00A07A3E">
      <w:pPr>
        <w:ind w:left="60"/>
        <w:rPr>
          <w:color w:val="800000"/>
          <w:sz w:val="22"/>
          <w:szCs w:val="22"/>
        </w:rPr>
      </w:pPr>
    </w:p>
    <w:p w:rsidR="00A07A3E" w:rsidRPr="004458EC" w:rsidRDefault="00243FE7">
      <w:pPr>
        <w:numPr>
          <w:ilvl w:val="0"/>
          <w:numId w:val="2"/>
        </w:numPr>
        <w:spacing w:line="480" w:lineRule="auto"/>
        <w:ind w:left="418"/>
        <w:rPr>
          <w:color w:val="800000"/>
          <w:sz w:val="22"/>
          <w:szCs w:val="22"/>
        </w:rPr>
      </w:pPr>
      <w:r w:rsidRPr="004458EC">
        <w:rPr>
          <w:color w:val="800000"/>
          <w:sz w:val="22"/>
          <w:szCs w:val="22"/>
        </w:rPr>
        <w:t xml:space="preserve"> 3 </w:t>
      </w:r>
      <w:r w:rsidR="004320FF" w:rsidRPr="004458EC">
        <w:rPr>
          <w:color w:val="800000"/>
          <w:sz w:val="22"/>
          <w:szCs w:val="22"/>
        </w:rPr>
        <w:t xml:space="preserve">is a divisor of </w:t>
      </w:r>
      <w:r w:rsidRPr="004458EC">
        <w:rPr>
          <w:color w:val="800000"/>
          <w:sz w:val="22"/>
          <w:szCs w:val="22"/>
        </w:rPr>
        <w:t>(n</w:t>
      </w:r>
      <w:r w:rsidRPr="004458EC">
        <w:rPr>
          <w:color w:val="800000"/>
          <w:sz w:val="22"/>
          <w:szCs w:val="22"/>
          <w:vertAlign w:val="superscript"/>
        </w:rPr>
        <w:t>3</w:t>
      </w:r>
      <w:r w:rsidRPr="004458EC">
        <w:rPr>
          <w:color w:val="800000"/>
          <w:sz w:val="22"/>
          <w:szCs w:val="22"/>
        </w:rPr>
        <w:t xml:space="preserve"> + 2n)  for all </w:t>
      </w:r>
      <w:r w:rsidR="004320FF" w:rsidRPr="004458EC">
        <w:rPr>
          <w:color w:val="800000"/>
          <w:sz w:val="22"/>
          <w:szCs w:val="22"/>
        </w:rPr>
        <w:t>natural numbers, N.</w:t>
      </w:r>
    </w:p>
    <w:p w:rsidR="0064719F" w:rsidRPr="00484A4D" w:rsidRDefault="00243FE7" w:rsidP="002E2122">
      <w:pPr>
        <w:numPr>
          <w:ilvl w:val="0"/>
          <w:numId w:val="2"/>
        </w:numPr>
        <w:spacing w:line="480" w:lineRule="auto"/>
        <w:ind w:left="418"/>
        <w:rPr>
          <w:color w:val="800000"/>
          <w:sz w:val="20"/>
          <w:szCs w:val="20"/>
        </w:rPr>
      </w:pPr>
      <w:r w:rsidRPr="00484A4D">
        <w:rPr>
          <w:color w:val="800000"/>
          <w:sz w:val="20"/>
          <w:szCs w:val="20"/>
        </w:rPr>
        <w:t xml:space="preserve"> </w:t>
      </w:r>
      <w:r w:rsidR="004320FF" w:rsidRPr="00484A4D">
        <w:rPr>
          <w:color w:val="800000"/>
          <w:sz w:val="20"/>
          <w:szCs w:val="20"/>
        </w:rPr>
        <w:t xml:space="preserve">3 is a divisor of </w:t>
      </w:r>
      <w:r w:rsidRPr="00484A4D">
        <w:rPr>
          <w:color w:val="800000"/>
          <w:sz w:val="20"/>
          <w:szCs w:val="20"/>
        </w:rPr>
        <w:t>(7</w:t>
      </w:r>
      <w:r w:rsidRPr="00484A4D">
        <w:rPr>
          <w:color w:val="800000"/>
          <w:sz w:val="20"/>
          <w:szCs w:val="20"/>
          <w:vertAlign w:val="superscript"/>
        </w:rPr>
        <w:t>n</w:t>
      </w:r>
      <w:r w:rsidRPr="00484A4D">
        <w:rPr>
          <w:color w:val="800000"/>
          <w:sz w:val="20"/>
          <w:szCs w:val="20"/>
        </w:rPr>
        <w:t xml:space="preserve"> – 2</w:t>
      </w:r>
      <w:r w:rsidRPr="00484A4D">
        <w:rPr>
          <w:color w:val="800000"/>
          <w:sz w:val="20"/>
          <w:szCs w:val="20"/>
          <w:vertAlign w:val="superscript"/>
        </w:rPr>
        <w:t>n</w:t>
      </w:r>
      <w:r w:rsidRPr="00484A4D">
        <w:rPr>
          <w:color w:val="800000"/>
          <w:sz w:val="20"/>
          <w:szCs w:val="20"/>
        </w:rPr>
        <w:t xml:space="preserve">)  for all </w:t>
      </w:r>
      <w:r w:rsidR="004320FF" w:rsidRPr="00484A4D">
        <w:rPr>
          <w:color w:val="800000"/>
          <w:sz w:val="20"/>
          <w:szCs w:val="20"/>
        </w:rPr>
        <w:t>non-negative integers, n.</w:t>
      </w:r>
    </w:p>
    <w:p w:rsidR="00A07A3E" w:rsidRPr="00484A4D" w:rsidRDefault="00243FE7" w:rsidP="002E2122">
      <w:pPr>
        <w:numPr>
          <w:ilvl w:val="0"/>
          <w:numId w:val="2"/>
        </w:numPr>
        <w:spacing w:line="480" w:lineRule="auto"/>
        <w:ind w:left="418"/>
        <w:rPr>
          <w:color w:val="800000"/>
          <w:sz w:val="20"/>
          <w:szCs w:val="20"/>
        </w:rPr>
      </w:pPr>
      <w:r w:rsidRPr="00484A4D">
        <w:rPr>
          <w:color w:val="800000"/>
          <w:sz w:val="20"/>
          <w:szCs w:val="20"/>
        </w:rPr>
        <w:t xml:space="preserve"> 1 + 3 + 5 + … + (2n</w:t>
      </w:r>
      <w:r w:rsidR="000350B6" w:rsidRPr="00484A4D">
        <w:rPr>
          <w:color w:val="800000"/>
          <w:sz w:val="20"/>
          <w:szCs w:val="20"/>
        </w:rPr>
        <w:t xml:space="preserve"> – </w:t>
      </w:r>
      <w:r w:rsidRPr="00484A4D">
        <w:rPr>
          <w:color w:val="800000"/>
          <w:sz w:val="20"/>
          <w:szCs w:val="20"/>
        </w:rPr>
        <w:t>1) = n</w:t>
      </w:r>
      <w:r w:rsidRPr="00484A4D">
        <w:rPr>
          <w:color w:val="800000"/>
          <w:sz w:val="20"/>
          <w:szCs w:val="20"/>
          <w:vertAlign w:val="superscript"/>
        </w:rPr>
        <w:t>2</w:t>
      </w:r>
      <w:r w:rsidR="0064719F" w:rsidRPr="00484A4D">
        <w:rPr>
          <w:color w:val="800000"/>
          <w:sz w:val="20"/>
          <w:szCs w:val="20"/>
        </w:rPr>
        <w:t xml:space="preserve"> for all </w:t>
      </w:r>
      <w:r w:rsidR="004320FF" w:rsidRPr="00484A4D">
        <w:rPr>
          <w:color w:val="800000"/>
          <w:sz w:val="20"/>
          <w:szCs w:val="20"/>
        </w:rPr>
        <w:t>natural numbers, n</w:t>
      </w:r>
    </w:p>
    <w:p w:rsidR="004320FF" w:rsidRPr="00484A4D" w:rsidRDefault="00243FE7" w:rsidP="004320FF">
      <w:pPr>
        <w:numPr>
          <w:ilvl w:val="0"/>
          <w:numId w:val="2"/>
        </w:numPr>
        <w:spacing w:after="120"/>
        <w:rPr>
          <w:color w:val="800000"/>
          <w:sz w:val="20"/>
          <w:szCs w:val="20"/>
        </w:rPr>
      </w:pPr>
      <w:r w:rsidRPr="00484A4D">
        <w:rPr>
          <w:color w:val="800000"/>
          <w:sz w:val="20"/>
          <w:szCs w:val="20"/>
        </w:rPr>
        <w:t xml:space="preserve"> (1</w:t>
      </w:r>
      <w:r w:rsidR="004320FF" w:rsidRPr="00484A4D">
        <w:rPr>
          <w:color w:val="800000"/>
          <w:sz w:val="20"/>
          <w:szCs w:val="20"/>
        </w:rPr>
        <w:t xml:space="preserve"> </w:t>
      </w:r>
      <w:r w:rsidRPr="00484A4D">
        <w:rPr>
          <w:color w:val="800000"/>
          <w:sz w:val="20"/>
          <w:szCs w:val="20"/>
        </w:rPr>
        <w:t>+</w:t>
      </w:r>
      <w:r w:rsidR="004320FF" w:rsidRPr="00484A4D">
        <w:rPr>
          <w:color w:val="800000"/>
          <w:sz w:val="20"/>
          <w:szCs w:val="20"/>
        </w:rPr>
        <w:t xml:space="preserve"> </w:t>
      </w:r>
      <w:r w:rsidRPr="00484A4D">
        <w:rPr>
          <w:color w:val="800000"/>
          <w:sz w:val="20"/>
          <w:szCs w:val="20"/>
        </w:rPr>
        <w:t>x)</w:t>
      </w:r>
      <w:r w:rsidRPr="00484A4D">
        <w:rPr>
          <w:color w:val="800000"/>
          <w:sz w:val="20"/>
          <w:szCs w:val="20"/>
          <w:vertAlign w:val="superscript"/>
        </w:rPr>
        <w:t>n</w:t>
      </w:r>
      <w:r w:rsidRPr="00484A4D">
        <w:rPr>
          <w:color w:val="800000"/>
          <w:sz w:val="20"/>
          <w:szCs w:val="20"/>
        </w:rPr>
        <w:t xml:space="preserve"> ≥ 1 + nx  for all real x &gt; -1 and all </w:t>
      </w:r>
      <w:r w:rsidR="004320FF" w:rsidRPr="00484A4D">
        <w:rPr>
          <w:color w:val="800000"/>
          <w:sz w:val="20"/>
          <w:szCs w:val="20"/>
        </w:rPr>
        <w:t>non-negative integers</w:t>
      </w:r>
      <w:r w:rsidR="0064719F" w:rsidRPr="00484A4D">
        <w:rPr>
          <w:color w:val="800000"/>
          <w:sz w:val="20"/>
          <w:szCs w:val="20"/>
        </w:rPr>
        <w:t xml:space="preserve">.  </w:t>
      </w:r>
    </w:p>
    <w:p w:rsidR="00A07A3E" w:rsidRPr="00484A4D" w:rsidRDefault="00243FE7" w:rsidP="004320FF">
      <w:pPr>
        <w:ind w:left="360"/>
        <w:rPr>
          <w:color w:val="800000"/>
          <w:sz w:val="20"/>
          <w:szCs w:val="20"/>
        </w:rPr>
      </w:pPr>
      <w:r w:rsidRPr="00484A4D">
        <w:rPr>
          <w:color w:val="800000"/>
          <w:sz w:val="20"/>
          <w:szCs w:val="20"/>
        </w:rPr>
        <w:t xml:space="preserve">(This is called </w:t>
      </w:r>
      <w:r w:rsidRPr="00484A4D">
        <w:rPr>
          <w:i/>
          <w:color w:val="800000"/>
          <w:sz w:val="20"/>
          <w:szCs w:val="20"/>
        </w:rPr>
        <w:t>Bernoulli’s inequality</w:t>
      </w:r>
      <w:r w:rsidRPr="00484A4D">
        <w:rPr>
          <w:color w:val="800000"/>
          <w:sz w:val="20"/>
          <w:szCs w:val="20"/>
        </w:rPr>
        <w:t>.)</w:t>
      </w:r>
    </w:p>
    <w:p w:rsidR="004320FF" w:rsidRPr="00484A4D" w:rsidRDefault="004320FF" w:rsidP="004320FF">
      <w:pPr>
        <w:ind w:left="360"/>
        <w:rPr>
          <w:color w:val="800000"/>
          <w:sz w:val="20"/>
          <w:szCs w:val="20"/>
        </w:rPr>
      </w:pPr>
    </w:p>
    <w:p w:rsidR="0064719F" w:rsidRPr="00484A4D" w:rsidRDefault="00243FE7" w:rsidP="00E50A63">
      <w:pPr>
        <w:numPr>
          <w:ilvl w:val="0"/>
          <w:numId w:val="2"/>
        </w:numPr>
        <w:ind w:left="418"/>
        <w:rPr>
          <w:color w:val="800000"/>
          <w:sz w:val="20"/>
          <w:szCs w:val="20"/>
        </w:rPr>
      </w:pPr>
      <w:r w:rsidRPr="00484A4D">
        <w:rPr>
          <w:color w:val="800000"/>
          <w:sz w:val="20"/>
          <w:szCs w:val="20"/>
        </w:rPr>
        <w:t xml:space="preserve"> 1 + 2 + 3 + … + n =  n(n+1)/2  for all </w:t>
      </w:r>
      <w:r w:rsidR="004320FF" w:rsidRPr="00484A4D">
        <w:rPr>
          <w:color w:val="800000"/>
          <w:sz w:val="20"/>
          <w:szCs w:val="20"/>
        </w:rPr>
        <w:t>natural numbers, n.</w:t>
      </w:r>
    </w:p>
    <w:p w:rsidR="00E50A63" w:rsidRPr="00484A4D" w:rsidRDefault="00E50A63" w:rsidP="00E50A63">
      <w:pPr>
        <w:rPr>
          <w:color w:val="800000"/>
          <w:sz w:val="20"/>
          <w:szCs w:val="20"/>
        </w:rPr>
      </w:pPr>
    </w:p>
    <w:p w:rsidR="0064719F" w:rsidRPr="00484A4D" w:rsidRDefault="00243FE7" w:rsidP="004320FF">
      <w:pPr>
        <w:numPr>
          <w:ilvl w:val="0"/>
          <w:numId w:val="2"/>
        </w:numPr>
        <w:ind w:left="418"/>
        <w:rPr>
          <w:color w:val="800000"/>
          <w:sz w:val="20"/>
          <w:szCs w:val="20"/>
        </w:rPr>
      </w:pPr>
      <w:r w:rsidRPr="00484A4D">
        <w:rPr>
          <w:color w:val="800000"/>
          <w:sz w:val="20"/>
          <w:szCs w:val="20"/>
        </w:rPr>
        <w:t>1</w:t>
      </w:r>
      <w:r w:rsidRPr="00484A4D">
        <w:rPr>
          <w:color w:val="800000"/>
          <w:sz w:val="20"/>
          <w:szCs w:val="20"/>
          <w:vertAlign w:val="superscript"/>
        </w:rPr>
        <w:t>2</w:t>
      </w:r>
      <w:r w:rsidRPr="00484A4D">
        <w:rPr>
          <w:color w:val="800000"/>
          <w:sz w:val="20"/>
          <w:szCs w:val="20"/>
        </w:rPr>
        <w:t xml:space="preserve"> + 2</w:t>
      </w:r>
      <w:r w:rsidRPr="00484A4D">
        <w:rPr>
          <w:color w:val="800000"/>
          <w:sz w:val="20"/>
          <w:szCs w:val="20"/>
          <w:vertAlign w:val="superscript"/>
        </w:rPr>
        <w:t>2</w:t>
      </w:r>
      <w:r w:rsidRPr="00484A4D">
        <w:rPr>
          <w:color w:val="800000"/>
          <w:sz w:val="20"/>
          <w:szCs w:val="20"/>
        </w:rPr>
        <w:t xml:space="preserve"> + 3</w:t>
      </w:r>
      <w:r w:rsidRPr="00484A4D">
        <w:rPr>
          <w:color w:val="800000"/>
          <w:sz w:val="20"/>
          <w:szCs w:val="20"/>
          <w:vertAlign w:val="superscript"/>
        </w:rPr>
        <w:t>2</w:t>
      </w:r>
      <w:r w:rsidRPr="00484A4D">
        <w:rPr>
          <w:color w:val="800000"/>
          <w:sz w:val="20"/>
          <w:szCs w:val="20"/>
        </w:rPr>
        <w:t xml:space="preserve"> + … + n</w:t>
      </w:r>
      <w:r w:rsidRPr="00484A4D">
        <w:rPr>
          <w:color w:val="800000"/>
          <w:sz w:val="20"/>
          <w:szCs w:val="20"/>
          <w:vertAlign w:val="superscript"/>
        </w:rPr>
        <w:t>2</w:t>
      </w:r>
      <w:r w:rsidRPr="00484A4D">
        <w:rPr>
          <w:color w:val="800000"/>
          <w:sz w:val="20"/>
          <w:szCs w:val="20"/>
        </w:rPr>
        <w:t xml:space="preserve"> = n(n+1)(2n+1)/6 </w:t>
      </w:r>
      <w:r w:rsidR="004320FF" w:rsidRPr="00484A4D">
        <w:rPr>
          <w:color w:val="800000"/>
          <w:sz w:val="20"/>
          <w:szCs w:val="20"/>
        </w:rPr>
        <w:t xml:space="preserve"> </w:t>
      </w:r>
      <w:r w:rsidR="004320FF" w:rsidRPr="00484A4D">
        <w:rPr>
          <w:color w:val="800000"/>
          <w:sz w:val="20"/>
          <w:szCs w:val="20"/>
        </w:rPr>
        <w:t>for all natural numbers, n.</w:t>
      </w:r>
    </w:p>
    <w:p w:rsidR="004320FF" w:rsidRPr="00484A4D" w:rsidRDefault="004320FF" w:rsidP="004458EC">
      <w:pPr>
        <w:rPr>
          <w:color w:val="800000"/>
          <w:sz w:val="20"/>
          <w:szCs w:val="20"/>
        </w:rPr>
      </w:pPr>
    </w:p>
    <w:p w:rsidR="004320FF" w:rsidRDefault="0064719F" w:rsidP="004320FF">
      <w:pPr>
        <w:numPr>
          <w:ilvl w:val="0"/>
          <w:numId w:val="2"/>
        </w:numPr>
        <w:ind w:left="418"/>
        <w:rPr>
          <w:color w:val="800000"/>
          <w:sz w:val="20"/>
          <w:szCs w:val="20"/>
        </w:rPr>
      </w:pPr>
      <w:r w:rsidRPr="00484A4D">
        <w:rPr>
          <w:color w:val="800000"/>
          <w:sz w:val="20"/>
          <w:szCs w:val="20"/>
        </w:rPr>
        <w:t xml:space="preserve"> </w:t>
      </w:r>
      <w:r w:rsidR="00243FE7" w:rsidRPr="00484A4D">
        <w:rPr>
          <w:color w:val="800000"/>
          <w:sz w:val="20"/>
          <w:szCs w:val="20"/>
        </w:rPr>
        <w:t>2 + 2</w:t>
      </w:r>
      <w:r w:rsidR="00243FE7" w:rsidRPr="00484A4D">
        <w:rPr>
          <w:color w:val="800000"/>
          <w:sz w:val="20"/>
          <w:szCs w:val="20"/>
          <w:vertAlign w:val="superscript"/>
        </w:rPr>
        <w:t>2</w:t>
      </w:r>
      <w:r w:rsidR="00243FE7" w:rsidRPr="00484A4D">
        <w:rPr>
          <w:color w:val="800000"/>
          <w:sz w:val="20"/>
          <w:szCs w:val="20"/>
        </w:rPr>
        <w:t xml:space="preserve"> + 2</w:t>
      </w:r>
      <w:r w:rsidR="00243FE7" w:rsidRPr="00484A4D">
        <w:rPr>
          <w:color w:val="800000"/>
          <w:sz w:val="20"/>
          <w:szCs w:val="20"/>
          <w:vertAlign w:val="superscript"/>
        </w:rPr>
        <w:t>3</w:t>
      </w:r>
      <w:r w:rsidR="00243FE7" w:rsidRPr="00484A4D">
        <w:rPr>
          <w:color w:val="800000"/>
          <w:sz w:val="20"/>
          <w:szCs w:val="20"/>
        </w:rPr>
        <w:t xml:space="preserve"> + … + 2</w:t>
      </w:r>
      <w:r w:rsidR="00243FE7" w:rsidRPr="00484A4D">
        <w:rPr>
          <w:color w:val="800000"/>
          <w:sz w:val="20"/>
          <w:szCs w:val="20"/>
          <w:vertAlign w:val="superscript"/>
        </w:rPr>
        <w:t>n</w:t>
      </w:r>
      <w:r w:rsidR="00243FE7" w:rsidRPr="00484A4D">
        <w:rPr>
          <w:color w:val="800000"/>
          <w:sz w:val="20"/>
          <w:szCs w:val="20"/>
        </w:rPr>
        <w:t xml:space="preserve"> = 2</w:t>
      </w:r>
      <w:r w:rsidR="00243FE7" w:rsidRPr="00484A4D">
        <w:rPr>
          <w:color w:val="800000"/>
          <w:sz w:val="20"/>
          <w:szCs w:val="20"/>
          <w:vertAlign w:val="superscript"/>
        </w:rPr>
        <w:t>n+1</w:t>
      </w:r>
      <w:r w:rsidR="004320FF" w:rsidRPr="00484A4D">
        <w:rPr>
          <w:color w:val="800000"/>
          <w:sz w:val="20"/>
          <w:szCs w:val="20"/>
        </w:rPr>
        <w:t xml:space="preserve"> – 2 for all</w:t>
      </w:r>
      <w:r w:rsidR="004320FF" w:rsidRPr="00484A4D">
        <w:rPr>
          <w:color w:val="800000"/>
          <w:sz w:val="20"/>
          <w:szCs w:val="20"/>
        </w:rPr>
        <w:t xml:space="preserve"> natural numbers, n.</w:t>
      </w:r>
    </w:p>
    <w:p w:rsidR="007E3B77" w:rsidRPr="00484A4D" w:rsidRDefault="007E3B77" w:rsidP="007E3B77">
      <w:pPr>
        <w:rPr>
          <w:color w:val="800000"/>
          <w:sz w:val="20"/>
          <w:szCs w:val="20"/>
        </w:rPr>
      </w:pPr>
    </w:p>
    <w:p w:rsidR="004458EC" w:rsidRPr="00484A4D" w:rsidRDefault="00243FE7" w:rsidP="004458EC">
      <w:pPr>
        <w:numPr>
          <w:ilvl w:val="0"/>
          <w:numId w:val="2"/>
        </w:numPr>
        <w:spacing w:line="480" w:lineRule="auto"/>
        <w:ind w:left="418"/>
        <w:rPr>
          <w:color w:val="800000"/>
          <w:sz w:val="20"/>
          <w:szCs w:val="20"/>
        </w:rPr>
      </w:pPr>
      <w:r w:rsidRPr="00484A4D">
        <w:rPr>
          <w:color w:val="800000"/>
          <w:sz w:val="20"/>
          <w:szCs w:val="20"/>
        </w:rPr>
        <w:lastRenderedPageBreak/>
        <w:t>4n &lt; 2</w:t>
      </w:r>
      <w:r w:rsidRPr="00484A4D">
        <w:rPr>
          <w:color w:val="800000"/>
          <w:sz w:val="20"/>
          <w:szCs w:val="20"/>
          <w:vertAlign w:val="superscript"/>
        </w:rPr>
        <w:t>n</w:t>
      </w:r>
      <w:r w:rsidRPr="00484A4D">
        <w:rPr>
          <w:color w:val="800000"/>
          <w:sz w:val="20"/>
          <w:szCs w:val="20"/>
        </w:rPr>
        <w:t xml:space="preserve">  for all natural numbers n ≥ 5.</w:t>
      </w:r>
    </w:p>
    <w:p w:rsidR="000B4271" w:rsidRPr="00484A4D" w:rsidRDefault="00243FE7" w:rsidP="000B4271">
      <w:pPr>
        <w:numPr>
          <w:ilvl w:val="0"/>
          <w:numId w:val="2"/>
        </w:numPr>
        <w:ind w:left="418"/>
        <w:rPr>
          <w:color w:val="800000"/>
          <w:sz w:val="20"/>
          <w:szCs w:val="20"/>
        </w:rPr>
      </w:pPr>
      <w:r w:rsidRPr="00484A4D">
        <w:rPr>
          <w:color w:val="800000"/>
          <w:sz w:val="20"/>
          <w:szCs w:val="20"/>
        </w:rPr>
        <w:t xml:space="preserve">  (1)(2) + (2)(3) + (3)(4) + … + (n)(n+1) = n(n+1)(n+2)/3  </w:t>
      </w:r>
      <w:r w:rsidR="000B4271" w:rsidRPr="00484A4D">
        <w:rPr>
          <w:color w:val="800000"/>
          <w:sz w:val="20"/>
          <w:szCs w:val="20"/>
        </w:rPr>
        <w:t>for all natural numbers, n.</w:t>
      </w:r>
    </w:p>
    <w:p w:rsidR="000B4271" w:rsidRPr="00484A4D" w:rsidRDefault="000B4271" w:rsidP="000B4271">
      <w:pPr>
        <w:ind w:left="418"/>
        <w:rPr>
          <w:color w:val="800000"/>
          <w:sz w:val="20"/>
          <w:szCs w:val="20"/>
        </w:rPr>
      </w:pPr>
    </w:p>
    <w:p w:rsidR="00207264" w:rsidRDefault="00243FE7" w:rsidP="000B4271">
      <w:pPr>
        <w:numPr>
          <w:ilvl w:val="0"/>
          <w:numId w:val="2"/>
        </w:numPr>
        <w:spacing w:line="360" w:lineRule="auto"/>
        <w:rPr>
          <w:color w:val="800000"/>
          <w:sz w:val="20"/>
          <w:szCs w:val="20"/>
        </w:rPr>
      </w:pPr>
      <w:r w:rsidRPr="00484A4D">
        <w:rPr>
          <w:color w:val="800000"/>
          <w:sz w:val="20"/>
          <w:szCs w:val="20"/>
        </w:rPr>
        <w:t xml:space="preserve">  133 | (12</w:t>
      </w:r>
      <w:r w:rsidRPr="00484A4D">
        <w:rPr>
          <w:color w:val="800000"/>
          <w:sz w:val="20"/>
          <w:szCs w:val="20"/>
          <w:vertAlign w:val="superscript"/>
        </w:rPr>
        <w:t>2n</w:t>
      </w:r>
      <w:r w:rsidRPr="00484A4D">
        <w:rPr>
          <w:color w:val="800000"/>
          <w:sz w:val="20"/>
          <w:szCs w:val="20"/>
        </w:rPr>
        <w:t xml:space="preserve"> – 11</w:t>
      </w:r>
      <w:r w:rsidRPr="00484A4D">
        <w:rPr>
          <w:color w:val="800000"/>
          <w:sz w:val="20"/>
          <w:szCs w:val="20"/>
          <w:vertAlign w:val="superscript"/>
        </w:rPr>
        <w:t>n</w:t>
      </w:r>
      <w:r w:rsidRPr="00484A4D">
        <w:rPr>
          <w:color w:val="800000"/>
          <w:sz w:val="20"/>
          <w:szCs w:val="20"/>
        </w:rPr>
        <w:t xml:space="preserve">) for all non-negative integers </w:t>
      </w:r>
      <w:r w:rsidRPr="00484A4D">
        <w:rPr>
          <w:i/>
          <w:color w:val="800000"/>
          <w:sz w:val="20"/>
          <w:szCs w:val="20"/>
        </w:rPr>
        <w:t>n</w:t>
      </w:r>
      <w:r w:rsidRPr="00484A4D">
        <w:rPr>
          <w:color w:val="800000"/>
          <w:sz w:val="20"/>
          <w:szCs w:val="20"/>
        </w:rPr>
        <w:t>.</w:t>
      </w:r>
    </w:p>
    <w:p w:rsidR="007E3B77" w:rsidRDefault="007E3B77" w:rsidP="007E3B77">
      <w:pPr>
        <w:pStyle w:val="ListParagraph"/>
        <w:rPr>
          <w:color w:val="800000"/>
          <w:sz w:val="20"/>
          <w:szCs w:val="20"/>
        </w:rPr>
      </w:pPr>
    </w:p>
    <w:p w:rsidR="00FE20E2" w:rsidRPr="007E3B77" w:rsidRDefault="00FE20E2" w:rsidP="007E3B77">
      <w:pPr>
        <w:numPr>
          <w:ilvl w:val="0"/>
          <w:numId w:val="2"/>
        </w:numPr>
        <w:spacing w:line="360" w:lineRule="auto"/>
        <w:rPr>
          <w:color w:val="800000"/>
          <w:sz w:val="20"/>
          <w:szCs w:val="20"/>
        </w:rPr>
      </w:pPr>
      <w:r w:rsidRPr="007E3B77">
        <w:rPr>
          <w:sz w:val="22"/>
          <w:szCs w:val="22"/>
        </w:rPr>
        <w:t xml:space="preserve">A total of </w:t>
      </w:r>
      <w:r w:rsidRPr="007E3B77">
        <w:rPr>
          <w:i/>
          <w:sz w:val="22"/>
          <w:szCs w:val="22"/>
        </w:rPr>
        <w:t>n</w:t>
      </w:r>
      <w:r w:rsidRPr="007E3B77">
        <w:rPr>
          <w:sz w:val="22"/>
          <w:szCs w:val="22"/>
        </w:rPr>
        <w:t xml:space="preserve"> democrats and republicans stand in line. If the person at the head of the line is a democrat and the person at the end of the line is a republican, then somewhere in the line, a republican must stand next to a democrat.</w:t>
      </w:r>
    </w:p>
    <w:p w:rsidR="007E3B77" w:rsidRDefault="007E3B77" w:rsidP="007E3B77">
      <w:pPr>
        <w:pStyle w:val="ListParagraph"/>
        <w:rPr>
          <w:color w:val="800000"/>
          <w:sz w:val="20"/>
          <w:szCs w:val="20"/>
        </w:rPr>
      </w:pPr>
    </w:p>
    <w:p w:rsidR="007E3B77" w:rsidRPr="007E3B77" w:rsidRDefault="007E3B77" w:rsidP="007E3B77">
      <w:pPr>
        <w:numPr>
          <w:ilvl w:val="0"/>
          <w:numId w:val="2"/>
        </w:numPr>
        <w:spacing w:line="360" w:lineRule="auto"/>
        <w:rPr>
          <w:color w:val="800000"/>
          <w:sz w:val="20"/>
          <w:szCs w:val="20"/>
        </w:rPr>
      </w:pPr>
      <w:r>
        <w:rPr>
          <w:color w:val="800000"/>
          <w:sz w:val="20"/>
          <w:szCs w:val="20"/>
        </w:rPr>
        <w:t xml:space="preserve">Consider the spider example discussed in class. Where is the flaw in theprrof?  </w:t>
      </w:r>
      <w:bookmarkStart w:id="0" w:name="_GoBack"/>
      <w:bookmarkEnd w:id="0"/>
    </w:p>
    <w:p w:rsidR="00A07A3E" w:rsidRPr="00484A4D" w:rsidRDefault="00A07A3E">
      <w:pPr>
        <w:rPr>
          <w:color w:val="800000"/>
          <w:sz w:val="20"/>
          <w:szCs w:val="20"/>
        </w:rPr>
      </w:pPr>
    </w:p>
    <w:p w:rsidR="00207264" w:rsidRDefault="00207264">
      <w:pPr>
        <w:pStyle w:val="PlainText"/>
      </w:pPr>
    </w:p>
    <w:p w:rsidR="00A76FB3" w:rsidRPr="00E27746" w:rsidRDefault="00A76FB3" w:rsidP="00E27746">
      <w:pPr>
        <w:pStyle w:val="PlainText"/>
        <w:spacing w:line="360" w:lineRule="auto"/>
        <w:rPr>
          <w:rFonts w:ascii="Times New Roman" w:hAnsi="Times New Roman"/>
          <w:color w:val="C00000"/>
          <w:sz w:val="22"/>
          <w:szCs w:val="22"/>
        </w:rPr>
      </w:pPr>
      <w:r w:rsidRPr="00A76FB3">
        <w:rPr>
          <w:rFonts w:ascii="Times New Roman" w:hAnsi="Times New Roman"/>
          <w:b/>
          <w:color w:val="C00000"/>
          <w:sz w:val="28"/>
          <w:szCs w:val="28"/>
        </w:rPr>
        <w:t>A Template for Induction Proofs</w:t>
      </w:r>
      <w:r w:rsidRPr="00A76FB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4458EC">
        <w:rPr>
          <w:rFonts w:ascii="Times New Roman" w:hAnsi="Times New Roman"/>
          <w:color w:val="C00000"/>
          <w:sz w:val="28"/>
          <w:szCs w:val="28"/>
        </w:rPr>
        <w:t xml:space="preserve">  </w:t>
      </w:r>
      <w:r w:rsidR="004458EC" w:rsidRPr="004458EC">
        <w:rPr>
          <w:rFonts w:ascii="Times New Roman" w:hAnsi="Times New Roman"/>
          <w:color w:val="C00000"/>
          <w:sz w:val="22"/>
          <w:szCs w:val="22"/>
        </w:rPr>
        <w:t>(MIT notes)</w:t>
      </w:r>
    </w:p>
    <w:p w:rsidR="00A76FB3" w:rsidRPr="00705904" w:rsidRDefault="00BF1263" w:rsidP="00E27746">
      <w:pPr>
        <w:pStyle w:val="PlainText"/>
        <w:spacing w:line="360" w:lineRule="auto"/>
        <w:rPr>
          <w:rFonts w:ascii="Times New Roman" w:hAnsi="Times New Roman"/>
        </w:rPr>
      </w:pPr>
      <w:r w:rsidRPr="00705904">
        <w:rPr>
          <w:rFonts w:ascii="Times New Roman" w:hAnsi="Times New Roman"/>
          <w:b/>
        </w:rPr>
        <w:t xml:space="preserve">1.  </w:t>
      </w:r>
      <w:r w:rsidR="00A76FB3" w:rsidRPr="00705904">
        <w:rPr>
          <w:rFonts w:ascii="Times New Roman" w:hAnsi="Times New Roman"/>
          <w:b/>
        </w:rPr>
        <w:t>State that the proof uses induction</w:t>
      </w:r>
      <w:r w:rsidR="00A76FB3" w:rsidRPr="00705904">
        <w:rPr>
          <w:rFonts w:ascii="Times New Roman" w:hAnsi="Times New Roman"/>
        </w:rPr>
        <w:t xml:space="preserve">. </w:t>
      </w:r>
    </w:p>
    <w:p w:rsidR="00E27746" w:rsidRPr="00705904" w:rsidRDefault="00A76FB3" w:rsidP="00E27746">
      <w:pPr>
        <w:pStyle w:val="PlainText"/>
        <w:spacing w:line="360" w:lineRule="auto"/>
        <w:rPr>
          <w:rFonts w:ascii="Times New Roman" w:hAnsi="Times New Roman"/>
        </w:rPr>
      </w:pPr>
      <w:r w:rsidRPr="00705904">
        <w:rPr>
          <w:rFonts w:ascii="Times New Roman" w:hAnsi="Times New Roman"/>
        </w:rPr>
        <w:t xml:space="preserve">2. </w:t>
      </w:r>
      <w:r w:rsidRPr="00705904">
        <w:rPr>
          <w:rFonts w:ascii="Times New Roman" w:hAnsi="Times New Roman"/>
          <w:b/>
        </w:rPr>
        <w:t>Define an appropriate predicate</w:t>
      </w:r>
      <w:r w:rsidRPr="00705904">
        <w:rPr>
          <w:rFonts w:ascii="Times New Roman" w:hAnsi="Times New Roman"/>
        </w:rPr>
        <w:t xml:space="preserve"> P(n). </w:t>
      </w:r>
    </w:p>
    <w:p w:rsidR="00E27746" w:rsidRPr="00705904" w:rsidRDefault="00A76FB3" w:rsidP="00E27746">
      <w:pPr>
        <w:pStyle w:val="PlainText"/>
        <w:spacing w:line="360" w:lineRule="auto"/>
        <w:rPr>
          <w:rFonts w:ascii="Times New Roman" w:hAnsi="Times New Roman"/>
        </w:rPr>
      </w:pPr>
      <w:r w:rsidRPr="00705904">
        <w:rPr>
          <w:rFonts w:ascii="Times New Roman" w:hAnsi="Times New Roman"/>
        </w:rPr>
        <w:t xml:space="preserve">3. </w:t>
      </w:r>
      <w:r w:rsidR="00BF1263" w:rsidRPr="00705904">
        <w:rPr>
          <w:rFonts w:ascii="Times New Roman" w:hAnsi="Times New Roman"/>
          <w:b/>
        </w:rPr>
        <w:t>Prove that P(0)</w:t>
      </w:r>
      <w:r w:rsidRPr="00705904">
        <w:rPr>
          <w:rFonts w:ascii="Times New Roman" w:hAnsi="Times New Roman"/>
          <w:b/>
        </w:rPr>
        <w:t xml:space="preserve"> is true</w:t>
      </w:r>
      <w:r w:rsidRPr="00705904">
        <w:rPr>
          <w:rFonts w:ascii="Times New Roman" w:hAnsi="Times New Roman"/>
        </w:rPr>
        <w:t xml:space="preserve">. </w:t>
      </w:r>
    </w:p>
    <w:p w:rsidR="00BF1263" w:rsidRPr="00705904" w:rsidRDefault="00A76FB3" w:rsidP="00E27746">
      <w:pPr>
        <w:pStyle w:val="PlainText"/>
        <w:spacing w:line="360" w:lineRule="auto"/>
        <w:rPr>
          <w:rFonts w:ascii="Times New Roman" w:hAnsi="Times New Roman"/>
        </w:rPr>
      </w:pPr>
      <w:r w:rsidRPr="00705904">
        <w:rPr>
          <w:rFonts w:ascii="Times New Roman" w:hAnsi="Times New Roman"/>
        </w:rPr>
        <w:t xml:space="preserve">4. </w:t>
      </w:r>
      <w:r w:rsidRPr="00705904">
        <w:rPr>
          <w:rFonts w:ascii="Times New Roman" w:hAnsi="Times New Roman"/>
          <w:b/>
        </w:rPr>
        <w:t xml:space="preserve">Prove that </w:t>
      </w:r>
      <w:r w:rsidR="00BF1263" w:rsidRPr="00705904">
        <w:rPr>
          <w:rFonts w:ascii="Times New Roman" w:hAnsi="Times New Roman"/>
          <w:b/>
        </w:rPr>
        <w:t>P(n)</w:t>
      </w:r>
      <w:r w:rsidR="007F77C8" w:rsidRPr="00705904">
        <w:rPr>
          <w:rFonts w:ascii="Times New Roman" w:hAnsi="Times New Roman"/>
          <w:b/>
        </w:rPr>
        <w:t xml:space="preserve"> implies P</w:t>
      </w:r>
      <w:r w:rsidR="00BF1263" w:rsidRPr="00705904">
        <w:rPr>
          <w:rFonts w:ascii="Times New Roman" w:hAnsi="Times New Roman"/>
          <w:b/>
        </w:rPr>
        <w:t>(n+1)</w:t>
      </w:r>
      <w:r w:rsidRPr="00705904">
        <w:rPr>
          <w:rFonts w:ascii="Times New Roman" w:hAnsi="Times New Roman"/>
        </w:rPr>
        <w:t xml:space="preserve"> for every nonnegative integer n. </w:t>
      </w:r>
    </w:p>
    <w:p w:rsidR="00484A4D" w:rsidRPr="00484A4D" w:rsidRDefault="00A76FB3" w:rsidP="00E27746">
      <w:pPr>
        <w:pStyle w:val="PlainText"/>
        <w:spacing w:line="360" w:lineRule="auto"/>
        <w:rPr>
          <w:rFonts w:ascii="Times New Roman" w:hAnsi="Times New Roman"/>
        </w:rPr>
      </w:pPr>
      <w:r w:rsidRPr="004458EC">
        <w:rPr>
          <w:rFonts w:ascii="Times New Roman" w:hAnsi="Times New Roman"/>
          <w:b/>
        </w:rPr>
        <w:t>5</w:t>
      </w:r>
      <w:r w:rsidRPr="00705904">
        <w:rPr>
          <w:rFonts w:ascii="Times New Roman" w:hAnsi="Times New Roman"/>
        </w:rPr>
        <w:t xml:space="preserve">. </w:t>
      </w:r>
      <w:r w:rsidRPr="00705904">
        <w:rPr>
          <w:rFonts w:ascii="Times New Roman" w:hAnsi="Times New Roman"/>
          <w:b/>
        </w:rPr>
        <w:t>Invoke induction</w:t>
      </w:r>
      <w:r w:rsidRPr="00705904">
        <w:rPr>
          <w:rFonts w:ascii="Times New Roman" w:hAnsi="Times New Roman"/>
        </w:rPr>
        <w:t xml:space="preserve">. </w:t>
      </w:r>
    </w:p>
    <w:p w:rsidR="00E162E1" w:rsidRDefault="00E162E1">
      <w:pPr>
        <w:pStyle w:val="PlainText"/>
      </w:pPr>
    </w:p>
    <w:p w:rsidR="003904BA" w:rsidRDefault="003904BA">
      <w:pPr>
        <w:pStyle w:val="PlainText"/>
        <w:rPr>
          <w:rFonts w:ascii="Times New Roman" w:hAnsi="Times New Roman"/>
          <w:sz w:val="24"/>
          <w:szCs w:val="24"/>
        </w:rPr>
      </w:pPr>
    </w:p>
    <w:p w:rsidR="003904BA" w:rsidRDefault="003904BA">
      <w:pPr>
        <w:pStyle w:val="PlainText"/>
        <w:rPr>
          <w:rFonts w:ascii="Times New Roman" w:hAnsi="Times New Roman"/>
          <w:sz w:val="24"/>
          <w:szCs w:val="24"/>
        </w:rPr>
      </w:pPr>
    </w:p>
    <w:p w:rsidR="00E50A63" w:rsidRDefault="00E50A63">
      <w:pPr>
        <w:pStyle w:val="PlainText"/>
        <w:rPr>
          <w:rFonts w:ascii="Times New Roman" w:hAnsi="Times New Roman"/>
          <w:sz w:val="24"/>
          <w:szCs w:val="24"/>
        </w:rPr>
      </w:pPr>
    </w:p>
    <w:p w:rsidR="00E50A63" w:rsidRDefault="00E50A63">
      <w:pPr>
        <w:pStyle w:val="PlainText"/>
        <w:rPr>
          <w:rFonts w:ascii="Times New Roman" w:hAnsi="Times New Roman"/>
          <w:sz w:val="24"/>
          <w:szCs w:val="24"/>
        </w:rPr>
      </w:pPr>
    </w:p>
    <w:p w:rsidR="00E50A63" w:rsidRPr="00E162E1" w:rsidRDefault="00E50A63">
      <w:pPr>
        <w:pStyle w:val="PlainText"/>
        <w:rPr>
          <w:rFonts w:ascii="Times New Roman" w:hAnsi="Times New Roman"/>
          <w:sz w:val="24"/>
          <w:szCs w:val="24"/>
        </w:rPr>
      </w:pPr>
    </w:p>
    <w:p w:rsidR="00E50A63" w:rsidRDefault="00E50A63" w:rsidP="00E50A63">
      <w:pPr>
        <w:pStyle w:val="PlainText"/>
        <w:ind w:right="720"/>
        <w:jc w:val="right"/>
        <w:rPr>
          <w:rFonts w:ascii="Times New Roman" w:eastAsia="MS Mincho" w:hAnsi="Times New Roman"/>
          <w:b/>
          <w:bCs/>
          <w:color w:val="800000"/>
          <w:sz w:val="24"/>
        </w:rPr>
      </w:pPr>
    </w:p>
    <w:p w:rsidR="00E50A63" w:rsidRDefault="00E50A63" w:rsidP="00E50A63">
      <w:pPr>
        <w:pStyle w:val="PlainText"/>
        <w:ind w:right="720"/>
        <w:jc w:val="right"/>
        <w:rPr>
          <w:rFonts w:ascii="Times New Roman" w:eastAsia="MS Mincho" w:hAnsi="Times New Roman"/>
          <w:b/>
          <w:bCs/>
          <w:color w:val="800000"/>
          <w:sz w:val="24"/>
        </w:rPr>
      </w:pPr>
    </w:p>
    <w:p w:rsidR="00E50A63" w:rsidRDefault="00E50A63" w:rsidP="00E50A63">
      <w:pPr>
        <w:pStyle w:val="PlainText"/>
        <w:ind w:right="720"/>
        <w:jc w:val="right"/>
        <w:rPr>
          <w:rFonts w:ascii="Times New Roman" w:eastAsia="MS Mincho" w:hAnsi="Times New Roman"/>
          <w:b/>
          <w:bCs/>
          <w:color w:val="800000"/>
          <w:sz w:val="24"/>
        </w:rPr>
      </w:pPr>
    </w:p>
    <w:p w:rsidR="00E50A63" w:rsidRDefault="00E50A63" w:rsidP="00E50A63">
      <w:pPr>
        <w:pStyle w:val="PlainText"/>
        <w:ind w:right="720"/>
        <w:jc w:val="right"/>
        <w:rPr>
          <w:rFonts w:ascii="Times New Roman" w:eastAsia="MS Mincho" w:hAnsi="Times New Roman"/>
          <w:b/>
          <w:bCs/>
          <w:color w:val="800000"/>
          <w:sz w:val="24"/>
        </w:rPr>
      </w:pPr>
    </w:p>
    <w:p w:rsidR="00A07A3E" w:rsidRDefault="00A07A3E">
      <w:pPr>
        <w:pStyle w:val="PlainText"/>
        <w:jc w:val="right"/>
        <w:rPr>
          <w:rFonts w:eastAsia="MS Mincho"/>
          <w:color w:val="800000"/>
        </w:rPr>
      </w:pPr>
    </w:p>
    <w:p w:rsidR="00A07A3E" w:rsidRDefault="00A07A3E">
      <w:pPr>
        <w:pStyle w:val="PlainText"/>
        <w:jc w:val="right"/>
        <w:rPr>
          <w:rFonts w:eastAsia="MS Mincho"/>
          <w:color w:val="800000"/>
        </w:rPr>
      </w:pPr>
    </w:p>
    <w:p w:rsidR="00243FE7" w:rsidRDefault="00243FE7">
      <w:pPr>
        <w:jc w:val="center"/>
        <w:rPr>
          <w:color w:val="800000"/>
        </w:rPr>
      </w:pPr>
    </w:p>
    <w:sectPr w:rsidR="00243FE7" w:rsidSect="00A07A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74" w:rsidRDefault="00D91374" w:rsidP="0064719F">
      <w:r>
        <w:separator/>
      </w:r>
    </w:p>
  </w:endnote>
  <w:endnote w:type="continuationSeparator" w:id="0">
    <w:p w:rsidR="00D91374" w:rsidRDefault="00D91374" w:rsidP="0064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74" w:rsidRDefault="00D91374" w:rsidP="0064719F">
      <w:r>
        <w:separator/>
      </w:r>
    </w:p>
  </w:footnote>
  <w:footnote w:type="continuationSeparator" w:id="0">
    <w:p w:rsidR="00D91374" w:rsidRDefault="00D91374" w:rsidP="00647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257"/>
    <w:multiLevelType w:val="hybridMultilevel"/>
    <w:tmpl w:val="B23AF91A"/>
    <w:lvl w:ilvl="0" w:tplc="EB54A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A7D98"/>
    <w:multiLevelType w:val="hybridMultilevel"/>
    <w:tmpl w:val="08029E34"/>
    <w:lvl w:ilvl="0" w:tplc="363283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A2F1F"/>
    <w:multiLevelType w:val="hybridMultilevel"/>
    <w:tmpl w:val="5DA05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B4A2E"/>
    <w:multiLevelType w:val="hybridMultilevel"/>
    <w:tmpl w:val="47F85D34"/>
    <w:lvl w:ilvl="0" w:tplc="9008FB0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56001F8"/>
    <w:multiLevelType w:val="hybridMultilevel"/>
    <w:tmpl w:val="8CCCD086"/>
    <w:lvl w:ilvl="0" w:tplc="2334D0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33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8208C"/>
    <w:multiLevelType w:val="hybridMultilevel"/>
    <w:tmpl w:val="3392B254"/>
    <w:lvl w:ilvl="0" w:tplc="CB589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3366FF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</w:lvl>
  </w:abstractNum>
  <w:abstractNum w:abstractNumId="6" w15:restartNumberingAfterBreak="0">
    <w:nsid w:val="683E61DE"/>
    <w:multiLevelType w:val="hybridMultilevel"/>
    <w:tmpl w:val="2432F114"/>
    <w:lvl w:ilvl="0" w:tplc="2334D0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3366FF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bcwMDU0NjUzMDZU0lEKTi0uzszPAykwrgUAzXPGhywAAAA="/>
  </w:docVars>
  <w:rsids>
    <w:rsidRoot w:val="00FA726A"/>
    <w:rsid w:val="000350B6"/>
    <w:rsid w:val="000407D1"/>
    <w:rsid w:val="000B4271"/>
    <w:rsid w:val="000E4D81"/>
    <w:rsid w:val="001A0870"/>
    <w:rsid w:val="001A5741"/>
    <w:rsid w:val="001F2F13"/>
    <w:rsid w:val="00207264"/>
    <w:rsid w:val="0022447A"/>
    <w:rsid w:val="00243FE7"/>
    <w:rsid w:val="00333559"/>
    <w:rsid w:val="00377F0F"/>
    <w:rsid w:val="00381706"/>
    <w:rsid w:val="003904BA"/>
    <w:rsid w:val="003C2392"/>
    <w:rsid w:val="004320FF"/>
    <w:rsid w:val="004458EC"/>
    <w:rsid w:val="00484A4D"/>
    <w:rsid w:val="005A1DE0"/>
    <w:rsid w:val="00631DBE"/>
    <w:rsid w:val="0064719F"/>
    <w:rsid w:val="00705904"/>
    <w:rsid w:val="00756B22"/>
    <w:rsid w:val="007717A7"/>
    <w:rsid w:val="007E3B77"/>
    <w:rsid w:val="007F77C8"/>
    <w:rsid w:val="008C78BF"/>
    <w:rsid w:val="008D4F40"/>
    <w:rsid w:val="00915496"/>
    <w:rsid w:val="00A07A3E"/>
    <w:rsid w:val="00A76FB3"/>
    <w:rsid w:val="00AC15B2"/>
    <w:rsid w:val="00AD29B8"/>
    <w:rsid w:val="00B93568"/>
    <w:rsid w:val="00BF1263"/>
    <w:rsid w:val="00BF5AE9"/>
    <w:rsid w:val="00C22B85"/>
    <w:rsid w:val="00D330C6"/>
    <w:rsid w:val="00D6779F"/>
    <w:rsid w:val="00D7447E"/>
    <w:rsid w:val="00D91374"/>
    <w:rsid w:val="00E162E1"/>
    <w:rsid w:val="00E27746"/>
    <w:rsid w:val="00E50A63"/>
    <w:rsid w:val="00E5468B"/>
    <w:rsid w:val="00E72B9D"/>
    <w:rsid w:val="00F626DF"/>
    <w:rsid w:val="00FA726A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ACAA2"/>
  <w15:docId w15:val="{6536FBC6-8902-46BB-A730-4E79E44A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A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7A3E"/>
    <w:pPr>
      <w:keepNext/>
      <w:outlineLvl w:val="0"/>
    </w:pPr>
    <w:rPr>
      <w:rFonts w:eastAsiaTheme="minorEastAs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07A3E"/>
    <w:rPr>
      <w:color w:val="0000FF"/>
      <w:u w:val="single"/>
    </w:rPr>
  </w:style>
  <w:style w:type="character" w:styleId="FollowedHyperlink">
    <w:name w:val="FollowedHyperlink"/>
    <w:basedOn w:val="DefaultParagraphFont"/>
    <w:rsid w:val="00A07A3E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A07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A07A3E"/>
    <w:rPr>
      <w:i/>
      <w:iCs/>
      <w:color w:val="0000FF"/>
    </w:rPr>
  </w:style>
  <w:style w:type="character" w:customStyle="1" w:styleId="BodyTextChar">
    <w:name w:val="Body Text Char"/>
    <w:basedOn w:val="DefaultParagraphFont"/>
    <w:link w:val="BodyText"/>
    <w:rsid w:val="00A07A3E"/>
    <w:rPr>
      <w:sz w:val="24"/>
      <w:szCs w:val="24"/>
    </w:rPr>
  </w:style>
  <w:style w:type="paragraph" w:styleId="BodyText2">
    <w:name w:val="Body Text 2"/>
    <w:basedOn w:val="Normal"/>
    <w:link w:val="BodyText2Char"/>
    <w:rsid w:val="00A07A3E"/>
    <w:pPr>
      <w:jc w:val="center"/>
    </w:pPr>
    <w:rPr>
      <w:color w:val="800000"/>
    </w:rPr>
  </w:style>
  <w:style w:type="character" w:customStyle="1" w:styleId="BodyText2Char">
    <w:name w:val="Body Text 2 Char"/>
    <w:basedOn w:val="DefaultParagraphFont"/>
    <w:link w:val="BodyText2"/>
    <w:rsid w:val="00A07A3E"/>
    <w:rPr>
      <w:sz w:val="24"/>
      <w:szCs w:val="24"/>
    </w:rPr>
  </w:style>
  <w:style w:type="paragraph" w:styleId="BodyText3">
    <w:name w:val="Body Text 3"/>
    <w:basedOn w:val="Normal"/>
    <w:link w:val="BodyText3Char"/>
    <w:rsid w:val="00A07A3E"/>
    <w:rPr>
      <w:color w:val="800000"/>
    </w:rPr>
  </w:style>
  <w:style w:type="character" w:customStyle="1" w:styleId="BodyText3Char">
    <w:name w:val="Body Text 3 Char"/>
    <w:basedOn w:val="DefaultParagraphFont"/>
    <w:link w:val="BodyText3"/>
    <w:rsid w:val="00A07A3E"/>
    <w:rPr>
      <w:sz w:val="16"/>
      <w:szCs w:val="16"/>
    </w:rPr>
  </w:style>
  <w:style w:type="paragraph" w:styleId="PlainText">
    <w:name w:val="Plain Text"/>
    <w:basedOn w:val="Normal"/>
    <w:link w:val="PlainTextChar"/>
    <w:rsid w:val="00A07A3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7A3E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rsid w:val="00FA7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2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47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19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47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4719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7F0F"/>
    <w:rPr>
      <w:color w:val="808080"/>
    </w:rPr>
  </w:style>
  <w:style w:type="paragraph" w:styleId="ListParagraph">
    <w:name w:val="List Paragraph"/>
    <w:basedOn w:val="Normal"/>
    <w:uiPriority w:val="34"/>
    <w:qFormat/>
    <w:rsid w:val="00E50A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3B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laise_Pas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27725-D015-4581-976C-18F8B878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Induction</vt:lpstr>
      <vt:lpstr>Class discussion:   Mathematical Induction, continued</vt:lpstr>
    </vt:vector>
  </TitlesOfParts>
  <Company>Loyola University Chicago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Induction</dc:title>
  <dc:subject/>
  <dc:creator>ajs</dc:creator>
  <cp:keywords/>
  <dc:description/>
  <cp:lastModifiedBy>Saleski, Alan</cp:lastModifiedBy>
  <cp:revision>5</cp:revision>
  <cp:lastPrinted>2019-02-15T20:09:00Z</cp:lastPrinted>
  <dcterms:created xsi:type="dcterms:W3CDTF">2019-02-17T20:37:00Z</dcterms:created>
  <dcterms:modified xsi:type="dcterms:W3CDTF">2019-02-17T20:54:00Z</dcterms:modified>
</cp:coreProperties>
</file>